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F5" w:rsidRPr="005936F5" w:rsidRDefault="005936F5" w:rsidP="005936F5">
      <w:pPr>
        <w:jc w:val="center"/>
        <w:outlineLvl w:val="1"/>
        <w:rPr>
          <w:b/>
          <w:bCs/>
          <w:color w:val="000000"/>
          <w:sz w:val="36"/>
          <w:szCs w:val="36"/>
          <w:lang w:eastAsia="es-PE"/>
        </w:rPr>
      </w:pPr>
      <w:r w:rsidRPr="005936F5">
        <w:rPr>
          <w:b/>
          <w:bCs/>
          <w:color w:val="FF0000"/>
          <w:sz w:val="36"/>
          <w:szCs w:val="36"/>
          <w:lang w:eastAsia="es-PE"/>
        </w:rPr>
        <w:t>SAN GREGORIO DE NISA PRESENTADO POR BENEDICTO XVI</w:t>
      </w:r>
    </w:p>
    <w:p w:rsidR="005936F5" w:rsidRPr="005936F5" w:rsidRDefault="005936F5" w:rsidP="005936F5">
      <w:pPr>
        <w:jc w:val="both"/>
        <w:rPr>
          <w:sz w:val="22"/>
          <w:szCs w:val="22"/>
          <w:lang w:eastAsia="es-PE"/>
        </w:rPr>
      </w:pPr>
      <w:r w:rsidRPr="005936F5">
        <w:rPr>
          <w:sz w:val="22"/>
          <w:szCs w:val="22"/>
          <w:lang w:eastAsia="es-PE"/>
        </w:rPr>
        <w:pict>
          <v:rect id="_x0000_i1025" style="width:0;height:1.5pt" o:hralign="center" o:hrstd="t" o:hrnoshade="t" o:hr="t" fillcolor="black" stroked="f"/>
        </w:pict>
      </w:r>
    </w:p>
    <w:p w:rsidR="005936F5" w:rsidRDefault="005936F5" w:rsidP="005936F5">
      <w:pPr>
        <w:jc w:val="both"/>
        <w:rPr>
          <w:color w:val="000000"/>
          <w:sz w:val="22"/>
          <w:szCs w:val="22"/>
          <w:lang w:eastAsia="es-PE"/>
        </w:rPr>
      </w:pPr>
      <w:r w:rsidRPr="005936F5">
        <w:rPr>
          <w:color w:val="000000"/>
          <w:sz w:val="22"/>
          <w:szCs w:val="22"/>
          <w:lang w:eastAsia="es-PE"/>
        </w:rPr>
        <w:t xml:space="preserve">Miércoles, 29 agosto 2007: intervención de Benedicto XVI en la audiencia general de este miércoles celebrada en la plaza de San Pedro, dedicada a presentar la figura de san Gregorio de </w:t>
      </w:r>
      <w:proofErr w:type="spellStart"/>
      <w:r w:rsidRPr="005936F5">
        <w:rPr>
          <w:color w:val="000000"/>
          <w:sz w:val="22"/>
          <w:szCs w:val="22"/>
          <w:lang w:eastAsia="es-PE"/>
        </w:rPr>
        <w:t>Nisa</w:t>
      </w:r>
      <w:proofErr w:type="spellEnd"/>
      <w:r w:rsidRPr="005936F5">
        <w:rPr>
          <w:color w:val="000000"/>
          <w:sz w:val="22"/>
          <w:szCs w:val="22"/>
          <w:lang w:eastAsia="es-PE"/>
        </w:rPr>
        <w:t>.</w:t>
      </w:r>
    </w:p>
    <w:p w:rsidR="005936F5" w:rsidRPr="005936F5" w:rsidRDefault="005936F5" w:rsidP="005936F5">
      <w:pPr>
        <w:jc w:val="both"/>
        <w:rPr>
          <w:color w:val="000000"/>
          <w:sz w:val="22"/>
          <w:szCs w:val="22"/>
          <w:lang w:eastAsia="es-PE"/>
        </w:rPr>
      </w:pPr>
    </w:p>
    <w:p w:rsidR="005936F5" w:rsidRDefault="005936F5" w:rsidP="005936F5">
      <w:pPr>
        <w:jc w:val="center"/>
        <w:rPr>
          <w:color w:val="000000"/>
          <w:sz w:val="22"/>
          <w:szCs w:val="22"/>
          <w:lang w:eastAsia="es-PE"/>
        </w:rPr>
      </w:pPr>
      <w:r w:rsidRPr="005936F5">
        <w:rPr>
          <w:color w:val="000000"/>
          <w:sz w:val="22"/>
          <w:szCs w:val="22"/>
          <w:lang w:eastAsia="es-PE"/>
        </w:rPr>
        <w:t>* * *</w:t>
      </w:r>
    </w:p>
    <w:p w:rsidR="005936F5" w:rsidRPr="005936F5" w:rsidRDefault="005936F5" w:rsidP="005936F5">
      <w:pPr>
        <w:jc w:val="both"/>
        <w:rPr>
          <w:color w:val="000000"/>
          <w:sz w:val="22"/>
          <w:szCs w:val="22"/>
          <w:lang w:eastAsia="es-PE"/>
        </w:rPr>
      </w:pPr>
    </w:p>
    <w:p w:rsidR="005936F5" w:rsidRDefault="005936F5" w:rsidP="005936F5">
      <w:pPr>
        <w:jc w:val="both"/>
        <w:rPr>
          <w:color w:val="000000"/>
          <w:sz w:val="22"/>
          <w:szCs w:val="22"/>
          <w:lang w:eastAsia="es-PE"/>
        </w:rPr>
      </w:pPr>
      <w:r w:rsidRPr="005936F5">
        <w:rPr>
          <w:color w:val="000000"/>
          <w:sz w:val="22"/>
          <w:szCs w:val="22"/>
          <w:lang w:eastAsia="es-PE"/>
        </w:rPr>
        <w:t xml:space="preserve">Queridos hermanos y hermanas: En las últimas catequesis he hablado de dos grandes doctores de la Iglesia del siglo IV, Basilio y Gregorio Nacianceno, obispo en Capadocia, en la actual Turquía. Hoy hablaremos de un tercero, el hermano de Basilio, san Gregorio de </w:t>
      </w:r>
      <w:proofErr w:type="spellStart"/>
      <w:r w:rsidRPr="005936F5">
        <w:rPr>
          <w:color w:val="000000"/>
          <w:sz w:val="22"/>
          <w:szCs w:val="22"/>
          <w:lang w:eastAsia="es-PE"/>
        </w:rPr>
        <w:t>Nisa</w:t>
      </w:r>
      <w:proofErr w:type="spellEnd"/>
      <w:r w:rsidRPr="005936F5">
        <w:rPr>
          <w:color w:val="000000"/>
          <w:sz w:val="22"/>
          <w:szCs w:val="22"/>
          <w:lang w:eastAsia="es-PE"/>
        </w:rPr>
        <w:t xml:space="preserve">, hombre de carácter meditativo, con gran capacidad de reflexión y una inteligencia despierta, abierta a la cultura de su tiempo. Se convirtió así en un pensador original y profundo de la historia del cristianismo.  Nació en torno al año 335; su formación cristiana fue atendida particularmente por su hermano Basilio, definido por él «padre y maestro » (Epístola 13,4: SC 363,198), y por su hermana </w:t>
      </w:r>
      <w:proofErr w:type="spellStart"/>
      <w:r w:rsidRPr="005936F5">
        <w:rPr>
          <w:color w:val="000000"/>
          <w:sz w:val="22"/>
          <w:szCs w:val="22"/>
          <w:lang w:eastAsia="es-PE"/>
        </w:rPr>
        <w:t>Macrina</w:t>
      </w:r>
      <w:proofErr w:type="spellEnd"/>
      <w:r w:rsidRPr="005936F5">
        <w:rPr>
          <w:color w:val="000000"/>
          <w:sz w:val="22"/>
          <w:szCs w:val="22"/>
          <w:lang w:eastAsia="es-PE"/>
        </w:rPr>
        <w:t xml:space="preserve">. </w:t>
      </w:r>
    </w:p>
    <w:p w:rsidR="005936F5" w:rsidRPr="005936F5" w:rsidRDefault="005936F5" w:rsidP="005936F5">
      <w:pPr>
        <w:jc w:val="both"/>
        <w:rPr>
          <w:color w:val="000000"/>
          <w:sz w:val="22"/>
          <w:szCs w:val="22"/>
          <w:lang w:eastAsia="es-PE"/>
        </w:rPr>
      </w:pPr>
    </w:p>
    <w:p w:rsidR="005936F5" w:rsidRDefault="005936F5" w:rsidP="005936F5">
      <w:pPr>
        <w:jc w:val="both"/>
        <w:rPr>
          <w:color w:val="000000"/>
          <w:sz w:val="22"/>
          <w:szCs w:val="22"/>
          <w:lang w:eastAsia="es-PE"/>
        </w:rPr>
      </w:pPr>
      <w:r w:rsidRPr="005936F5">
        <w:rPr>
          <w:color w:val="000000"/>
          <w:sz w:val="22"/>
          <w:szCs w:val="22"/>
          <w:lang w:eastAsia="es-PE"/>
        </w:rPr>
        <w:t xml:space="preserve">En sus estudios, le gustaba particularmente la filosofía y la retórica. En un primer momento se dedicó a la enseñanza y se casó. Después, como su hermano y su hermana, se dedicó totalmente a la vida ascética.  Más tarde, fue elegido obispo de </w:t>
      </w:r>
      <w:proofErr w:type="spellStart"/>
      <w:r w:rsidRPr="005936F5">
        <w:rPr>
          <w:color w:val="000000"/>
          <w:sz w:val="22"/>
          <w:szCs w:val="22"/>
          <w:lang w:eastAsia="es-PE"/>
        </w:rPr>
        <w:t>Nisa</w:t>
      </w:r>
      <w:proofErr w:type="spellEnd"/>
      <w:r w:rsidRPr="005936F5">
        <w:rPr>
          <w:color w:val="000000"/>
          <w:sz w:val="22"/>
          <w:szCs w:val="22"/>
          <w:lang w:eastAsia="es-PE"/>
        </w:rPr>
        <w:t xml:space="preserve">, convirtiéndose en pastor celoso, conquistando la estima de la comunidad. Acusado de malversaciones económicas por sus adversarios herejes, tuvo que abandonar brevemente su sede episcopal, pero después regresó triunfalmente (Cf. Epístola 6: SC 363,164-170), y siguió comprometiéndose en la lucha por defender la auténtica fe.  </w:t>
      </w:r>
    </w:p>
    <w:p w:rsidR="005936F5" w:rsidRPr="005936F5" w:rsidRDefault="005936F5" w:rsidP="005936F5">
      <w:pPr>
        <w:jc w:val="both"/>
        <w:rPr>
          <w:color w:val="000000"/>
          <w:sz w:val="22"/>
          <w:szCs w:val="22"/>
          <w:lang w:eastAsia="es-PE"/>
        </w:rPr>
      </w:pPr>
    </w:p>
    <w:p w:rsidR="005936F5" w:rsidRDefault="005936F5" w:rsidP="005936F5">
      <w:pPr>
        <w:jc w:val="both"/>
        <w:rPr>
          <w:color w:val="000000"/>
          <w:sz w:val="22"/>
          <w:szCs w:val="22"/>
          <w:lang w:eastAsia="es-PE"/>
        </w:rPr>
      </w:pPr>
      <w:r w:rsidRPr="005936F5">
        <w:rPr>
          <w:color w:val="000000"/>
          <w:sz w:val="22"/>
          <w:szCs w:val="22"/>
          <w:lang w:eastAsia="es-PE"/>
        </w:rPr>
        <w:t>Tras la muerte de Basilio, como recogiendo su herencia espiritual, cooperó sobre todo en el triunfo de la ortodoxia. Participó en varios sínodos; trató de dirimir los enfrentamientos entre las Iglesias; participó en la reorganización eclesiástica y, como «columna de la ortodoxia», fue uno de los protagonistas del Concilio de Constantinopla del año 381, que definió la divinidad del Espíritu Santo. Tuvo varios encargos oficiales por parte del emperador Teodosio, pronunció importantes homilías y discursos fúnebres, compuso varias obras teológicas.</w:t>
      </w:r>
    </w:p>
    <w:p w:rsidR="005936F5" w:rsidRPr="005936F5" w:rsidRDefault="005936F5" w:rsidP="005936F5">
      <w:pPr>
        <w:jc w:val="both"/>
        <w:rPr>
          <w:color w:val="000000"/>
          <w:sz w:val="22"/>
          <w:szCs w:val="22"/>
          <w:lang w:eastAsia="es-PE"/>
        </w:rPr>
      </w:pPr>
    </w:p>
    <w:p w:rsidR="005936F5" w:rsidRDefault="005936F5" w:rsidP="005936F5">
      <w:pPr>
        <w:jc w:val="both"/>
        <w:rPr>
          <w:color w:val="000000"/>
          <w:sz w:val="22"/>
          <w:szCs w:val="22"/>
          <w:lang w:eastAsia="es-PE"/>
        </w:rPr>
      </w:pPr>
      <w:r w:rsidRPr="005936F5">
        <w:rPr>
          <w:color w:val="000000"/>
          <w:sz w:val="22"/>
          <w:szCs w:val="22"/>
          <w:lang w:eastAsia="es-PE"/>
        </w:rPr>
        <w:t xml:space="preserve"> En el año 394 volvió a participar en un sínodo que se celebró en Constantinopla. Se desconoce la fecha de su muerte.  Gregorio expresa con claridad la finalidad de sus estudios, objetivo supremo al que dedica su trabajo teológico: no entregar la vida a cosas banales, sino encontrar la luz que permita discernir lo que es verdaderamente útil (Cf. «In </w:t>
      </w:r>
      <w:proofErr w:type="spellStart"/>
      <w:r w:rsidRPr="005936F5">
        <w:rPr>
          <w:color w:val="000000"/>
          <w:sz w:val="22"/>
          <w:szCs w:val="22"/>
          <w:lang w:eastAsia="es-PE"/>
        </w:rPr>
        <w:t>Ecclesiasten</w:t>
      </w:r>
      <w:proofErr w:type="spellEnd"/>
      <w:r w:rsidRPr="005936F5">
        <w:rPr>
          <w:color w:val="000000"/>
          <w:sz w:val="22"/>
          <w:szCs w:val="22"/>
          <w:lang w:eastAsia="es-PE"/>
        </w:rPr>
        <w:t xml:space="preserve"> hom.» 1: SC 416,106-146).  Encontró este bien supremo en el cristianismo, gracias al cual es posible «la imitación de la naturaleza divina» («De </w:t>
      </w:r>
      <w:proofErr w:type="spellStart"/>
      <w:r w:rsidRPr="005936F5">
        <w:rPr>
          <w:color w:val="000000"/>
          <w:sz w:val="22"/>
          <w:szCs w:val="22"/>
          <w:lang w:eastAsia="es-PE"/>
        </w:rPr>
        <w:t>professione</w:t>
      </w:r>
      <w:proofErr w:type="spellEnd"/>
      <w:r w:rsidRPr="005936F5">
        <w:rPr>
          <w:color w:val="000000"/>
          <w:sz w:val="22"/>
          <w:szCs w:val="22"/>
          <w:lang w:eastAsia="es-PE"/>
        </w:rPr>
        <w:t xml:space="preserve"> christiana»: PG 46, 244C). </w:t>
      </w:r>
    </w:p>
    <w:p w:rsidR="005936F5" w:rsidRPr="005936F5" w:rsidRDefault="005936F5" w:rsidP="005936F5">
      <w:pPr>
        <w:jc w:val="both"/>
        <w:rPr>
          <w:color w:val="000000"/>
          <w:sz w:val="22"/>
          <w:szCs w:val="22"/>
          <w:lang w:eastAsia="es-PE"/>
        </w:rPr>
      </w:pPr>
    </w:p>
    <w:p w:rsidR="005936F5" w:rsidRDefault="005936F5" w:rsidP="005936F5">
      <w:pPr>
        <w:jc w:val="both"/>
        <w:rPr>
          <w:color w:val="000000"/>
          <w:sz w:val="22"/>
          <w:szCs w:val="22"/>
          <w:lang w:eastAsia="es-PE"/>
        </w:rPr>
      </w:pPr>
      <w:r w:rsidRPr="005936F5">
        <w:rPr>
          <w:color w:val="000000"/>
          <w:sz w:val="22"/>
          <w:szCs w:val="22"/>
          <w:lang w:eastAsia="es-PE"/>
        </w:rPr>
        <w:t xml:space="preserve">Con su aguda inteligencia y sus amplios conocimientos filosóficos y teológicos, defendió la fe cristiana contra los herejes, que negaban la divinidad del Espíritu Santo (como </w:t>
      </w:r>
      <w:proofErr w:type="spellStart"/>
      <w:r w:rsidRPr="005936F5">
        <w:rPr>
          <w:color w:val="000000"/>
          <w:sz w:val="22"/>
          <w:szCs w:val="22"/>
          <w:lang w:eastAsia="es-PE"/>
        </w:rPr>
        <w:t>Eunomio</w:t>
      </w:r>
      <w:proofErr w:type="spellEnd"/>
      <w:r w:rsidRPr="005936F5">
        <w:rPr>
          <w:color w:val="000000"/>
          <w:sz w:val="22"/>
          <w:szCs w:val="22"/>
          <w:lang w:eastAsia="es-PE"/>
        </w:rPr>
        <w:t xml:space="preserve"> y los macedonios), o ponían en tela de juicio la perfecta humanidad de Cristo (como Apolinar). Comentó la Sagrada Escritura, meditando en la creación del hombre. La creación era para él un tema central. Veía en la criatura un reflejo del Creador y a partir de aquí encontraba el camino hacia Dios.  Pero también escribió un importante libro sobre la vida de Moisés, a quien presenta como hombre en camino hacia Dios: esta ascensión hacia el Monte Sinaí se convierte para él en una imagen de nuestra ascensión en la vida humana hacia la verdadera vida, hacia el encuentro con Dios. Interpretó también la oración del Señor, el Padrenuestro y las Bienaventuranzas. En su «Gran discurso catequístico» («</w:t>
      </w:r>
      <w:proofErr w:type="spellStart"/>
      <w:r w:rsidRPr="005936F5">
        <w:rPr>
          <w:color w:val="000000"/>
          <w:sz w:val="22"/>
          <w:szCs w:val="22"/>
          <w:lang w:eastAsia="es-PE"/>
        </w:rPr>
        <w:t>Oratio</w:t>
      </w:r>
      <w:proofErr w:type="spellEnd"/>
      <w:r w:rsidRPr="005936F5">
        <w:rPr>
          <w:color w:val="000000"/>
          <w:sz w:val="22"/>
          <w:szCs w:val="22"/>
          <w:lang w:eastAsia="es-PE"/>
        </w:rPr>
        <w:t xml:space="preserve"> </w:t>
      </w:r>
      <w:proofErr w:type="spellStart"/>
      <w:r w:rsidRPr="005936F5">
        <w:rPr>
          <w:color w:val="000000"/>
          <w:sz w:val="22"/>
          <w:szCs w:val="22"/>
          <w:lang w:eastAsia="es-PE"/>
        </w:rPr>
        <w:t>catechetica</w:t>
      </w:r>
      <w:proofErr w:type="spellEnd"/>
      <w:r w:rsidRPr="005936F5">
        <w:rPr>
          <w:color w:val="000000"/>
          <w:sz w:val="22"/>
          <w:szCs w:val="22"/>
          <w:lang w:eastAsia="es-PE"/>
        </w:rPr>
        <w:t xml:space="preserve"> magna»), expuso las líneas </w:t>
      </w:r>
      <w:r w:rsidRPr="005936F5">
        <w:rPr>
          <w:color w:val="000000"/>
          <w:sz w:val="22"/>
          <w:szCs w:val="22"/>
          <w:lang w:eastAsia="es-PE"/>
        </w:rPr>
        <w:lastRenderedPageBreak/>
        <w:t xml:space="preserve">fundamentales de la teología, no de una teología académica, cerrada en sí misma, sino que ofreció a los catequistas un sistema de referencia para sus enseñanzas, como una especie de marco en el que se mueve después la interpretación pedagógica de la fe.  </w:t>
      </w:r>
    </w:p>
    <w:p w:rsidR="005936F5" w:rsidRPr="005936F5" w:rsidRDefault="005936F5" w:rsidP="005936F5">
      <w:pPr>
        <w:jc w:val="both"/>
        <w:rPr>
          <w:color w:val="000000"/>
          <w:sz w:val="22"/>
          <w:szCs w:val="22"/>
          <w:lang w:eastAsia="es-PE"/>
        </w:rPr>
      </w:pPr>
    </w:p>
    <w:p w:rsidR="005936F5" w:rsidRDefault="005936F5" w:rsidP="005936F5">
      <w:pPr>
        <w:jc w:val="both"/>
        <w:rPr>
          <w:color w:val="000000"/>
          <w:sz w:val="22"/>
          <w:szCs w:val="22"/>
          <w:lang w:eastAsia="es-PE"/>
        </w:rPr>
      </w:pPr>
      <w:r w:rsidRPr="005936F5">
        <w:rPr>
          <w:color w:val="000000"/>
          <w:sz w:val="22"/>
          <w:szCs w:val="22"/>
          <w:lang w:eastAsia="es-PE"/>
        </w:rPr>
        <w:t xml:space="preserve">Gregorio, además, es insigne por su doctrina espiritual. Su teología no era una reflexión académica, sino la expresión de una vida espiritual, de una vida de fe vivida. Como gran «padre de la mística» presentó en varios tratados --como el «De </w:t>
      </w:r>
      <w:proofErr w:type="spellStart"/>
      <w:r w:rsidRPr="005936F5">
        <w:rPr>
          <w:color w:val="000000"/>
          <w:sz w:val="22"/>
          <w:szCs w:val="22"/>
          <w:lang w:eastAsia="es-PE"/>
        </w:rPr>
        <w:t>professione</w:t>
      </w:r>
      <w:proofErr w:type="spellEnd"/>
      <w:r w:rsidRPr="005936F5">
        <w:rPr>
          <w:color w:val="000000"/>
          <w:sz w:val="22"/>
          <w:szCs w:val="22"/>
          <w:lang w:eastAsia="es-PE"/>
        </w:rPr>
        <w:t xml:space="preserve"> christiana» y el «De </w:t>
      </w:r>
      <w:proofErr w:type="spellStart"/>
      <w:r w:rsidRPr="005936F5">
        <w:rPr>
          <w:color w:val="000000"/>
          <w:sz w:val="22"/>
          <w:szCs w:val="22"/>
          <w:lang w:eastAsia="es-PE"/>
        </w:rPr>
        <w:t>perfectione</w:t>
      </w:r>
      <w:proofErr w:type="spellEnd"/>
      <w:r w:rsidRPr="005936F5">
        <w:rPr>
          <w:color w:val="000000"/>
          <w:sz w:val="22"/>
          <w:szCs w:val="22"/>
          <w:lang w:eastAsia="es-PE"/>
        </w:rPr>
        <w:t xml:space="preserve"> christiana»-- el camino que los cristianos tienen que emprender para alcanzar al verdadera vida, la perfección. Exaltó la virginidad consagrada («De </w:t>
      </w:r>
      <w:proofErr w:type="spellStart"/>
      <w:r w:rsidRPr="005936F5">
        <w:rPr>
          <w:color w:val="000000"/>
          <w:sz w:val="22"/>
          <w:szCs w:val="22"/>
          <w:lang w:eastAsia="es-PE"/>
        </w:rPr>
        <w:t>virginitate</w:t>
      </w:r>
      <w:proofErr w:type="spellEnd"/>
      <w:r w:rsidRPr="005936F5">
        <w:rPr>
          <w:color w:val="000000"/>
          <w:sz w:val="22"/>
          <w:szCs w:val="22"/>
          <w:lang w:eastAsia="es-PE"/>
        </w:rPr>
        <w:t xml:space="preserve">»), y propuso un modelo insigne en la vida de su hermana </w:t>
      </w:r>
      <w:proofErr w:type="spellStart"/>
      <w:r w:rsidRPr="005936F5">
        <w:rPr>
          <w:color w:val="000000"/>
          <w:sz w:val="22"/>
          <w:szCs w:val="22"/>
          <w:lang w:eastAsia="es-PE"/>
        </w:rPr>
        <w:t>Macrina</w:t>
      </w:r>
      <w:proofErr w:type="spellEnd"/>
      <w:r w:rsidRPr="005936F5">
        <w:rPr>
          <w:color w:val="000000"/>
          <w:sz w:val="22"/>
          <w:szCs w:val="22"/>
          <w:lang w:eastAsia="es-PE"/>
        </w:rPr>
        <w:t xml:space="preserve">, quien fue para él siempre una guía, un ejemplo (Cf. «Vita </w:t>
      </w:r>
      <w:proofErr w:type="spellStart"/>
      <w:r w:rsidRPr="005936F5">
        <w:rPr>
          <w:color w:val="000000"/>
          <w:sz w:val="22"/>
          <w:szCs w:val="22"/>
          <w:lang w:eastAsia="es-PE"/>
        </w:rPr>
        <w:t>Macrinae</w:t>
      </w:r>
      <w:proofErr w:type="spellEnd"/>
      <w:r w:rsidRPr="005936F5">
        <w:rPr>
          <w:color w:val="000000"/>
          <w:sz w:val="22"/>
          <w:szCs w:val="22"/>
          <w:lang w:eastAsia="es-PE"/>
        </w:rPr>
        <w:t xml:space="preserve">»). Pronunció varios discursos y homilías, escribió numerosas cartas. Comentando la creación del hombre, Gregorio subraya que Dios, «el mejor de los artistas, forja nuestra naturaleza de manera que sea capaz del ejercicio de la realeza. A causa de la superioridad del alma, y gracias a la misma conformación del cuerpo, hace que el hombre sea realmente idóneo para desempeñar el poder regio» («De </w:t>
      </w:r>
      <w:proofErr w:type="spellStart"/>
      <w:r w:rsidRPr="005936F5">
        <w:rPr>
          <w:color w:val="000000"/>
          <w:sz w:val="22"/>
          <w:szCs w:val="22"/>
          <w:lang w:eastAsia="es-PE"/>
        </w:rPr>
        <w:t>hominis</w:t>
      </w:r>
      <w:proofErr w:type="spellEnd"/>
      <w:r w:rsidRPr="005936F5">
        <w:rPr>
          <w:color w:val="000000"/>
          <w:sz w:val="22"/>
          <w:szCs w:val="22"/>
          <w:lang w:eastAsia="es-PE"/>
        </w:rPr>
        <w:t xml:space="preserve"> </w:t>
      </w:r>
      <w:proofErr w:type="spellStart"/>
      <w:r w:rsidRPr="005936F5">
        <w:rPr>
          <w:color w:val="000000"/>
          <w:sz w:val="22"/>
          <w:szCs w:val="22"/>
          <w:lang w:eastAsia="es-PE"/>
        </w:rPr>
        <w:t>opificio</w:t>
      </w:r>
      <w:proofErr w:type="spellEnd"/>
      <w:r w:rsidRPr="005936F5">
        <w:rPr>
          <w:color w:val="000000"/>
          <w:sz w:val="22"/>
          <w:szCs w:val="22"/>
          <w:lang w:eastAsia="es-PE"/>
        </w:rPr>
        <w:t xml:space="preserve">» 4: PG 44,136B).  Pero vemos cómo el hombre, en la red de los pecados, con frecuencia abusa de la creación y no ejerce la verdadera realeza. </w:t>
      </w:r>
    </w:p>
    <w:p w:rsidR="005936F5" w:rsidRPr="005936F5" w:rsidRDefault="005936F5" w:rsidP="005936F5">
      <w:pPr>
        <w:jc w:val="both"/>
        <w:rPr>
          <w:color w:val="000000"/>
          <w:sz w:val="22"/>
          <w:szCs w:val="22"/>
          <w:lang w:eastAsia="es-PE"/>
        </w:rPr>
      </w:pPr>
    </w:p>
    <w:p w:rsidR="005936F5" w:rsidRDefault="005936F5" w:rsidP="005936F5">
      <w:pPr>
        <w:jc w:val="both"/>
        <w:rPr>
          <w:color w:val="000000"/>
          <w:sz w:val="22"/>
          <w:szCs w:val="22"/>
          <w:lang w:eastAsia="es-PE"/>
        </w:rPr>
      </w:pPr>
      <w:r w:rsidRPr="005936F5">
        <w:rPr>
          <w:color w:val="000000"/>
          <w:sz w:val="22"/>
          <w:szCs w:val="22"/>
          <w:lang w:eastAsia="es-PE"/>
        </w:rPr>
        <w:t xml:space="preserve">Por este motivo, para desempeñar una verdadera responsabilidad ante las criaturas, tiene que ser penetrado por Dios y vivir en su luz. El hombre, de hecho, es un reflejo de esa belleza original que es Dios: «Todo lo que creó Dios era óptimo», escribe el santo obispo. Y añade: «Lo testimonia la narración de la creación (Cf. Génesis 1, 31). Entre las cosas óptimas también se encontraba el hombre, dotado de una belleza muy superior a la de todas las cosas bellas. ¿Qué otra cosa podía ser tan bella como la que era semejante a la belleza pura e incorruptible?... Reflejo e imagen de la vida eterna, él era realmente bello, es más, bellísimo, con el signo radiante de la vida en su rostro» («Homilia in </w:t>
      </w:r>
      <w:proofErr w:type="spellStart"/>
      <w:r w:rsidRPr="005936F5">
        <w:rPr>
          <w:color w:val="000000"/>
          <w:sz w:val="22"/>
          <w:szCs w:val="22"/>
          <w:lang w:eastAsia="es-PE"/>
        </w:rPr>
        <w:t>Canticum</w:t>
      </w:r>
      <w:proofErr w:type="spellEnd"/>
      <w:r w:rsidRPr="005936F5">
        <w:rPr>
          <w:color w:val="000000"/>
          <w:sz w:val="22"/>
          <w:szCs w:val="22"/>
          <w:lang w:eastAsia="es-PE"/>
        </w:rPr>
        <w:t xml:space="preserve">» 12: PG 44,1020C).  El hombre fue honrado por Dios y colocado por encima de toda criatura: «El cielo no fue hecho a imagen de Dios, ni la luna, ni el sol, ni la belleza de las estrellas, ni nada de lo que aparece en la creación. Sólo tú (alma humana) has sido hecha a imagen de la naturaleza que supera toda inteligencia, semejante a la belleza incorruptible, huella de la verdadera divinidad, espacio de vida bienaventurada, imagen de la verdadera luz, y al contemplarte te conviertes en lo que Él es, pues por medio del rayo reflejado que proviene de tu pureza tú imitas a quien brilla en ti. Nada de lo que existe es tan grande que pueda ser comparado a tu grandeza» («Homilia in </w:t>
      </w:r>
      <w:proofErr w:type="spellStart"/>
      <w:r w:rsidRPr="005936F5">
        <w:rPr>
          <w:color w:val="000000"/>
          <w:sz w:val="22"/>
          <w:szCs w:val="22"/>
          <w:lang w:eastAsia="es-PE"/>
        </w:rPr>
        <w:t>Canticum</w:t>
      </w:r>
      <w:proofErr w:type="spellEnd"/>
      <w:r w:rsidRPr="005936F5">
        <w:rPr>
          <w:color w:val="000000"/>
          <w:sz w:val="22"/>
          <w:szCs w:val="22"/>
          <w:lang w:eastAsia="es-PE"/>
        </w:rPr>
        <w:t xml:space="preserve"> 2»: PG 44,805D).  </w:t>
      </w:r>
    </w:p>
    <w:p w:rsidR="005936F5" w:rsidRPr="005936F5" w:rsidRDefault="005936F5" w:rsidP="005936F5">
      <w:pPr>
        <w:jc w:val="both"/>
        <w:rPr>
          <w:color w:val="000000"/>
          <w:sz w:val="22"/>
          <w:szCs w:val="22"/>
          <w:lang w:eastAsia="es-PE"/>
        </w:rPr>
      </w:pPr>
    </w:p>
    <w:p w:rsidR="005936F5" w:rsidRDefault="005936F5" w:rsidP="005936F5">
      <w:pPr>
        <w:jc w:val="both"/>
        <w:rPr>
          <w:color w:val="000000"/>
          <w:sz w:val="22"/>
          <w:szCs w:val="22"/>
          <w:lang w:eastAsia="es-PE"/>
        </w:rPr>
      </w:pPr>
      <w:r w:rsidRPr="005936F5">
        <w:rPr>
          <w:color w:val="000000"/>
          <w:sz w:val="22"/>
          <w:szCs w:val="22"/>
          <w:lang w:eastAsia="es-PE"/>
        </w:rPr>
        <w:t>Meditemos en este elogio del hombre. Veamos también cómo el hombre ha sido degradado por el pecado. Y tratemos de volver a la grandeza originaria: sólo si Dios está presente, el hombre alcanza su verdadera grandeza. El hombre, por tanto, reconoce dentro de sí el reflejo de la luz divina: purificando su corazón, vuelve a ser, como era al inicio, una imagen límpida de Dios, Belleza ejemplar (Cf. «</w:t>
      </w:r>
      <w:proofErr w:type="spellStart"/>
      <w:r w:rsidRPr="005936F5">
        <w:rPr>
          <w:color w:val="000000"/>
          <w:sz w:val="22"/>
          <w:szCs w:val="22"/>
          <w:lang w:eastAsia="es-PE"/>
        </w:rPr>
        <w:t>Oratio</w:t>
      </w:r>
      <w:proofErr w:type="spellEnd"/>
      <w:r w:rsidRPr="005936F5">
        <w:rPr>
          <w:color w:val="000000"/>
          <w:sz w:val="22"/>
          <w:szCs w:val="22"/>
          <w:lang w:eastAsia="es-PE"/>
        </w:rPr>
        <w:t xml:space="preserve"> </w:t>
      </w:r>
      <w:proofErr w:type="spellStart"/>
      <w:r w:rsidRPr="005936F5">
        <w:rPr>
          <w:color w:val="000000"/>
          <w:sz w:val="22"/>
          <w:szCs w:val="22"/>
          <w:lang w:eastAsia="es-PE"/>
        </w:rPr>
        <w:t>catechetica</w:t>
      </w:r>
      <w:proofErr w:type="spellEnd"/>
      <w:r w:rsidRPr="005936F5">
        <w:rPr>
          <w:color w:val="000000"/>
          <w:sz w:val="22"/>
          <w:szCs w:val="22"/>
          <w:lang w:eastAsia="es-PE"/>
        </w:rPr>
        <w:t xml:space="preserve"> 6»: SC 453,174). De este modo, el hombre purificándose, puede ver a Dios, como los puros de corazón (Cf. Mateo 5, 8): «Si con un estilo de vida diligente y atento lavas las fealdades que se han depositado en tu corazón, resplandecerá en ti la belleza divina… Contemplándote a ti mismo verás en ti al deseo de tu corazón y serás feliz» («De </w:t>
      </w:r>
      <w:proofErr w:type="spellStart"/>
      <w:r w:rsidRPr="005936F5">
        <w:rPr>
          <w:color w:val="000000"/>
          <w:sz w:val="22"/>
          <w:szCs w:val="22"/>
          <w:lang w:eastAsia="es-PE"/>
        </w:rPr>
        <w:t>beatitudinibus</w:t>
      </w:r>
      <w:proofErr w:type="spellEnd"/>
      <w:r w:rsidRPr="005936F5">
        <w:rPr>
          <w:color w:val="000000"/>
          <w:sz w:val="22"/>
          <w:szCs w:val="22"/>
          <w:lang w:eastAsia="es-PE"/>
        </w:rPr>
        <w:t>, 6»: PG 44,1272AB).</w:t>
      </w:r>
    </w:p>
    <w:p w:rsidR="005936F5" w:rsidRPr="005936F5" w:rsidRDefault="005936F5" w:rsidP="005936F5">
      <w:pPr>
        <w:jc w:val="both"/>
        <w:rPr>
          <w:color w:val="000000"/>
          <w:sz w:val="22"/>
          <w:szCs w:val="22"/>
          <w:lang w:eastAsia="es-PE"/>
        </w:rPr>
      </w:pPr>
    </w:p>
    <w:p w:rsidR="005936F5" w:rsidRPr="005936F5" w:rsidRDefault="005936F5" w:rsidP="005936F5">
      <w:pPr>
        <w:jc w:val="both"/>
        <w:rPr>
          <w:color w:val="000000"/>
          <w:sz w:val="22"/>
          <w:szCs w:val="22"/>
          <w:lang w:eastAsia="es-PE"/>
        </w:rPr>
      </w:pPr>
      <w:r w:rsidRPr="005936F5">
        <w:rPr>
          <w:color w:val="000000"/>
          <w:sz w:val="22"/>
          <w:szCs w:val="22"/>
          <w:lang w:eastAsia="es-PE"/>
        </w:rPr>
        <w:t xml:space="preserve"> Por tanto, hay que lavar las fealdades que se han depositado en nuestro corazón y volver a encontrar en nosotros mismos la luz de Dios.  El hombre tiene, por tanto, como fin la contemplación de Dios. Sólo en ella podrá encontrar su plenitud. Para anticipar en cierto sentido este objetivo ya en esta vida tiene que avanzar incesantemente hacia una vida espiritual, una vida de diálogo con Dios. En otras palabras --y esta es la lección importante que nos deja san  Gregorio de </w:t>
      </w:r>
      <w:proofErr w:type="spellStart"/>
      <w:r w:rsidRPr="005936F5">
        <w:rPr>
          <w:color w:val="000000"/>
          <w:sz w:val="22"/>
          <w:szCs w:val="22"/>
          <w:lang w:eastAsia="es-PE"/>
        </w:rPr>
        <w:t>Nisa</w:t>
      </w:r>
      <w:proofErr w:type="spellEnd"/>
      <w:r w:rsidRPr="005936F5">
        <w:rPr>
          <w:color w:val="000000"/>
          <w:sz w:val="22"/>
          <w:szCs w:val="22"/>
          <w:lang w:eastAsia="es-PE"/>
        </w:rPr>
        <w:t>-- la plena realización del hombre consiste en la santidad, en una vida vivida en el encuentro con Dios, que de este modo se hace luminosa también para los demás, también para el mundo.</w:t>
      </w:r>
    </w:p>
    <w:p w:rsidR="002E50CA" w:rsidRPr="005936F5" w:rsidRDefault="002E50CA" w:rsidP="005936F5">
      <w:pPr>
        <w:jc w:val="both"/>
        <w:rPr>
          <w:sz w:val="22"/>
          <w:szCs w:val="22"/>
        </w:rPr>
      </w:pPr>
    </w:p>
    <w:sectPr w:rsidR="002E50CA" w:rsidRPr="005936F5">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E52"/>
    <w:rsid w:val="002C2E52"/>
    <w:rsid w:val="002E50CA"/>
    <w:rsid w:val="005936F5"/>
    <w:rsid w:val="008F6AD4"/>
    <w:rsid w:val="00EE258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rPr>
  </w:style>
  <w:style w:type="paragraph" w:styleId="Ttulo2">
    <w:name w:val="heading 2"/>
    <w:basedOn w:val="Normal"/>
    <w:link w:val="Ttulo2Car"/>
    <w:uiPriority w:val="9"/>
    <w:qFormat/>
    <w:rsid w:val="005936F5"/>
    <w:pPr>
      <w:spacing w:before="100" w:beforeAutospacing="1" w:after="100" w:afterAutospacing="1"/>
      <w:outlineLvl w:val="1"/>
    </w:pPr>
    <w:rPr>
      <w:rFonts w:ascii="Times New Roman" w:hAnsi="Times New Roman" w:cs="Times New Roman"/>
      <w:b/>
      <w:bCs/>
      <w:sz w:val="36"/>
      <w:szCs w:val="36"/>
      <w:lang w:eastAsia="es-PE"/>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s-ES"/>
    </w:rPr>
  </w:style>
  <w:style w:type="character" w:customStyle="1" w:styleId="Ttulo2Car">
    <w:name w:val="Título 2 Car"/>
    <w:basedOn w:val="Fuentedeprrafopredeter"/>
    <w:link w:val="Ttulo2"/>
    <w:uiPriority w:val="9"/>
    <w:rsid w:val="005936F5"/>
    <w:rPr>
      <w:b/>
      <w:bCs/>
      <w:sz w:val="36"/>
      <w:szCs w:val="36"/>
    </w:rPr>
  </w:style>
</w:styles>
</file>

<file path=word/webSettings.xml><?xml version="1.0" encoding="utf-8"?>
<w:webSettings xmlns:r="http://schemas.openxmlformats.org/officeDocument/2006/relationships" xmlns:w="http://schemas.openxmlformats.org/wordprocessingml/2006/main">
  <w:divs>
    <w:div w:id="587274296">
      <w:bodyDiv w:val="1"/>
      <w:marLeft w:val="0"/>
      <w:marRight w:val="0"/>
      <w:marTop w:val="0"/>
      <w:marBottom w:val="0"/>
      <w:divBdr>
        <w:top w:val="none" w:sz="0" w:space="0" w:color="auto"/>
        <w:left w:val="none" w:sz="0" w:space="0" w:color="auto"/>
        <w:bottom w:val="none" w:sz="0" w:space="0" w:color="auto"/>
        <w:right w:val="none" w:sz="0" w:space="0" w:color="auto"/>
      </w:divBdr>
    </w:div>
    <w:div w:id="1027486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1202</Words>
  <Characters>6614</Characters>
  <Application>Microsoft Office Word</Application>
  <DocSecurity>0</DocSecurity>
  <Lines>55</Lines>
  <Paragraphs>15</Paragraphs>
  <ScaleCrop>false</ScaleCrop>
  <Company>M.S.C.</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Pacomio Regla y Prescripciones</dc:title>
  <dc:creator>MSC Misioneros del Sagrado Corazón en el Peru</dc:creator>
  <cp:lastModifiedBy>GERARDO</cp:lastModifiedBy>
  <cp:revision>2</cp:revision>
  <dcterms:created xsi:type="dcterms:W3CDTF">2013-08-05T15:23:00Z</dcterms:created>
  <dcterms:modified xsi:type="dcterms:W3CDTF">2013-08-05T15:23:00Z</dcterms:modified>
</cp:coreProperties>
</file>