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330" w:rsidRPr="00713330" w:rsidRDefault="00713330" w:rsidP="00713330">
      <w:pPr>
        <w:pStyle w:val="Ttulo1"/>
        <w:shd w:val="clear" w:color="auto" w:fill="FFFFFF"/>
        <w:spacing w:line="312" w:lineRule="auto"/>
        <w:jc w:val="both"/>
        <w:rPr>
          <w:rFonts w:ascii="Arial" w:hAnsi="Arial" w:cs="Arial"/>
          <w:sz w:val="22"/>
          <w:szCs w:val="22"/>
        </w:rPr>
      </w:pPr>
      <w:r w:rsidRPr="00713330">
        <w:rPr>
          <w:rFonts w:ascii="Arial" w:hAnsi="Arial" w:cs="Arial"/>
          <w:sz w:val="22"/>
          <w:szCs w:val="22"/>
        </w:rPr>
        <w:t>La «Epístola de Bernabé»</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 xml:space="preserve">La </w:t>
      </w:r>
      <w:r w:rsidRPr="00713330">
        <w:rPr>
          <w:rStyle w:val="nfasis"/>
          <w:rFonts w:ascii="Arial" w:hAnsi="Arial" w:cs="Arial"/>
          <w:sz w:val="22"/>
          <w:szCs w:val="22"/>
        </w:rPr>
        <w:t>Epístola de Bernabé</w:t>
      </w:r>
      <w:r w:rsidRPr="00713330">
        <w:rPr>
          <w:rFonts w:ascii="Arial" w:hAnsi="Arial" w:cs="Arial"/>
          <w:sz w:val="22"/>
          <w:szCs w:val="22"/>
        </w:rPr>
        <w:t xml:space="preserve"> es un tratado teológico más que una carta; de carta no tiene más que la apariencia. De hecho no contiene nada personal y carece de introducción y conclusión. Su contenido es de carácter general y no aparece en ella ninguna indicación de que fuera dirigida a alguna persona particular. Su forma de carta es puro artificio literario. Los escritores cristianos primitivos consideraban el género epistolar como el único apto para dar instrucciones piadosas y recurrían a este género aun cuando no se dirigieran a un círculo limitado de lectores. El propósito del autor, cuyo nombre no se menciona, es enseñar ?el conocimiento perfecto? (</w:t>
      </w:r>
      <w:r w:rsidRPr="00713330">
        <w:rPr>
          <w:rStyle w:val="griego"/>
          <w:rFonts w:ascii="Arial" w:hAnsi="Arial" w:cs="Arial"/>
          <w:sz w:val="22"/>
          <w:szCs w:val="22"/>
        </w:rPr>
        <w:t>γνώσις</w:t>
      </w:r>
      <w:r w:rsidRPr="00713330">
        <w:rPr>
          <w:rFonts w:ascii="Arial" w:hAnsi="Arial" w:cs="Arial"/>
          <w:sz w:val="22"/>
          <w:szCs w:val="22"/>
        </w:rPr>
        <w:t>) y la fe.</w:t>
      </w:r>
    </w:p>
    <w:p w:rsidR="00713330" w:rsidRPr="00713330" w:rsidRDefault="00713330" w:rsidP="00713330">
      <w:pPr>
        <w:pStyle w:val="Ttulo2"/>
        <w:shd w:val="clear" w:color="auto" w:fill="F7F3E1"/>
        <w:spacing w:line="312" w:lineRule="auto"/>
        <w:ind w:right="122"/>
        <w:jc w:val="both"/>
        <w:rPr>
          <w:rFonts w:ascii="Arial" w:hAnsi="Arial" w:cs="Arial"/>
          <w:sz w:val="22"/>
          <w:szCs w:val="22"/>
        </w:rPr>
      </w:pPr>
      <w:r w:rsidRPr="00713330">
        <w:rPr>
          <w:rFonts w:ascii="Arial" w:hAnsi="Arial" w:cs="Arial"/>
          <w:sz w:val="22"/>
          <w:szCs w:val="22"/>
        </w:rPr>
        <w:t>1. Contenido</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La carta se divide en dos partes: una teórica y otra práctica.</w:t>
      </w:r>
    </w:p>
    <w:p w:rsidR="00713330" w:rsidRPr="00713330" w:rsidRDefault="00713330" w:rsidP="00713330">
      <w:pPr>
        <w:pStyle w:val="NormalWeb"/>
        <w:shd w:val="clear" w:color="auto" w:fill="FFFFFF"/>
        <w:spacing w:before="0" w:after="0"/>
        <w:jc w:val="both"/>
        <w:rPr>
          <w:rFonts w:ascii="Arial" w:hAnsi="Arial" w:cs="Arial"/>
          <w:sz w:val="22"/>
          <w:szCs w:val="22"/>
        </w:rPr>
      </w:pPr>
      <w:r w:rsidRPr="00713330">
        <w:rPr>
          <w:rStyle w:val="num"/>
          <w:rFonts w:ascii="Arial" w:hAnsi="Arial" w:cs="Arial"/>
          <w:sz w:val="22"/>
          <w:szCs w:val="22"/>
        </w:rPr>
        <w:t xml:space="preserve">I. </w:t>
      </w:r>
      <w:r w:rsidRPr="00713330">
        <w:rPr>
          <w:rFonts w:ascii="Arial" w:hAnsi="Arial" w:cs="Arial"/>
          <w:sz w:val="22"/>
          <w:szCs w:val="22"/>
        </w:rPr>
        <w:t xml:space="preserve">La primera sección, teórica, comprende los capítulos 1-17 y es de carácter dogmático. En el capítulo 1,5, el autor declara la intención de su obra con estas palabras: ?a fin de que, juntamente con vuestra fe, tengáis perfecto conocimiento.? Este conocimiento, empero, es especial. El autor desea, en primer lugar, exponer y probar a sus lectores el valor y la significación de la revelación del Antiguo Testamento; trata de demostrar que los judíos entendieron muy mal la Ley, porque la interpretaron literalmente. Después de repudiar esta interpretación, explica lo que, a su juicio, representa el sentido espiritual genuino, o sea, la </w:t>
      </w:r>
      <w:r w:rsidRPr="00713330">
        <w:rPr>
          <w:rStyle w:val="griego"/>
          <w:rFonts w:ascii="Arial" w:hAnsi="Arial" w:cs="Arial"/>
          <w:sz w:val="22"/>
          <w:szCs w:val="22"/>
        </w:rPr>
        <w:t>τελεία γνωσις</w:t>
      </w:r>
      <w:r w:rsidRPr="00713330">
        <w:rPr>
          <w:rFonts w:ascii="Arial" w:hAnsi="Arial" w:cs="Arial"/>
          <w:sz w:val="22"/>
          <w:szCs w:val="22"/>
        </w:rPr>
        <w:t xml:space="preserve">. Consiste en una explicación alegórica de las doctrinas y mandamientos del Antiguo Testamento. Dios no quiere el don material de sacrificios sangrientos, sino la ofrenda de un corazón arrepentido. No quiere la circuncisión de la carne, sino la de nuestro oído, a fin de que nuestra mente se incline a la verdad. No insiste en que nos abstengamos de la carne de animales impuros, pero insiste en que renunciemos a los pecados simbolizados por aquellos animales (c.9 y 10). El cerdo, por ejemplo, es enumerado entre los animales prohibidos, porque hay hombres que se parecen a los cerdos, que, una vez ahitos, olvidan la mano que los alimenta. El águila, el halcón, el gavilán y el cuervo son animales prohibidos, porque simbolizan hombres que logran su pan cotidiano por la rapiña y toda suerte de iniquidad, en vez de ganarse su sustento con un trabajo honrado y el sudor de su frente (c.14,4). Una prueba de lo atrevido de las alegorías del autor la da el capítulo 9. Habla de la circuncisión que Abrahán ordenó a 318 de sus siervos. Según la interpretación del autor, ésta fue la manera como le fue revelado a Abrahán el misterio de la redención mediante la crucifixión y muerte de Cristo. Las cifras 10 y 8 en griego se escriben </w:t>
      </w:r>
      <w:r w:rsidRPr="00713330">
        <w:rPr>
          <w:rStyle w:val="griego"/>
          <w:rFonts w:ascii="Arial" w:hAnsi="Arial" w:cs="Arial"/>
          <w:i/>
          <w:iCs/>
          <w:sz w:val="22"/>
          <w:szCs w:val="22"/>
        </w:rPr>
        <w:t>ι</w:t>
      </w:r>
      <w:r w:rsidRPr="00713330">
        <w:rPr>
          <w:rFonts w:ascii="Arial" w:hAnsi="Arial" w:cs="Arial"/>
          <w:sz w:val="22"/>
          <w:szCs w:val="22"/>
        </w:rPr>
        <w:t xml:space="preserve">, </w:t>
      </w:r>
      <w:r w:rsidRPr="00713330">
        <w:rPr>
          <w:rStyle w:val="griego"/>
          <w:rFonts w:ascii="Arial" w:hAnsi="Arial" w:cs="Arial"/>
          <w:i/>
          <w:iCs/>
          <w:sz w:val="22"/>
          <w:szCs w:val="22"/>
        </w:rPr>
        <w:t>η</w:t>
      </w:r>
      <w:r w:rsidRPr="00713330">
        <w:rPr>
          <w:rStyle w:val="nfasis"/>
          <w:rFonts w:ascii="Arial" w:hAnsi="Arial" w:cs="Arial"/>
          <w:sz w:val="22"/>
          <w:szCs w:val="22"/>
        </w:rPr>
        <w:t>;</w:t>
      </w:r>
      <w:r w:rsidRPr="00713330">
        <w:rPr>
          <w:rFonts w:ascii="Arial" w:hAnsi="Arial" w:cs="Arial"/>
          <w:sz w:val="22"/>
          <w:szCs w:val="22"/>
        </w:rPr>
        <w:t xml:space="preserve"> el número 300 = </w:t>
      </w:r>
      <w:r w:rsidRPr="00713330">
        <w:rPr>
          <w:rStyle w:val="griego"/>
          <w:rFonts w:ascii="Arial" w:hAnsi="Arial" w:cs="Arial"/>
          <w:i/>
          <w:iCs/>
          <w:sz w:val="22"/>
          <w:szCs w:val="22"/>
        </w:rPr>
        <w:t>τ</w:t>
      </w:r>
      <w:r w:rsidRPr="00713330">
        <w:rPr>
          <w:rFonts w:ascii="Arial" w:hAnsi="Arial" w:cs="Arial"/>
          <w:sz w:val="22"/>
          <w:szCs w:val="22"/>
        </w:rPr>
        <w:t xml:space="preserve">. Esta letra </w:t>
      </w:r>
      <w:r w:rsidRPr="00713330">
        <w:rPr>
          <w:rStyle w:val="griego"/>
          <w:rFonts w:ascii="Arial" w:hAnsi="Arial" w:cs="Arial"/>
          <w:i/>
          <w:iCs/>
          <w:sz w:val="22"/>
          <w:szCs w:val="22"/>
        </w:rPr>
        <w:t>τ</w:t>
      </w:r>
      <w:r w:rsidRPr="00713330">
        <w:rPr>
          <w:rFonts w:ascii="Arial" w:hAnsi="Arial" w:cs="Arial"/>
          <w:sz w:val="22"/>
          <w:szCs w:val="22"/>
        </w:rPr>
        <w:t xml:space="preserve"> significa la cruz. Por consiguiente, el número 318 significa la redención por medio de la muerte de Jesús en la cruz. La Ley Antigua no estaba destinada a los judíos. ?Moisés, pues, recibió la alianza; mas ellos no se hicieron dignos.? Estaba destinada, desde un principio, a los cristianos. ?Ahora bien, ¿cómo la recibimos nosotros? Aprendedlo: Moisés la recibió como siervo que era; mas a nosotros nos la dio el Señor en persona </w:t>
      </w:r>
      <w:r w:rsidRPr="00713330">
        <w:rPr>
          <w:rFonts w:ascii="Arial" w:hAnsi="Arial" w:cs="Arial"/>
          <w:sz w:val="22"/>
          <w:szCs w:val="22"/>
        </w:rPr>
        <w:lastRenderedPageBreak/>
        <w:t>para hacernos, habiendo sufrido por nosotros, pueblo de su herencia? (14,4). La interpretación judía de la Antigua Ley no estaba garantizada por Dios; los judíos fueron engañados por las maquinaciones de un ángel malo: ?Ellos transgredieron su mandamiento, pues un ángel malo los engañó? (9,4). El autor se atreve incluso a decir que el culto judío se parece a la idolatría pagana (16,2).</w:t>
      </w:r>
    </w:p>
    <w:p w:rsidR="00713330" w:rsidRPr="00713330" w:rsidRDefault="00713330" w:rsidP="00713330">
      <w:pPr>
        <w:pStyle w:val="NormalWeb"/>
        <w:shd w:val="clear" w:color="auto" w:fill="FFFFFF"/>
        <w:spacing w:before="0" w:after="0"/>
        <w:jc w:val="both"/>
        <w:rPr>
          <w:rFonts w:ascii="Arial" w:hAnsi="Arial" w:cs="Arial"/>
          <w:sz w:val="22"/>
          <w:szCs w:val="22"/>
        </w:rPr>
      </w:pPr>
      <w:r w:rsidRPr="00713330">
        <w:rPr>
          <w:rStyle w:val="num"/>
          <w:rFonts w:ascii="Arial" w:hAnsi="Arial" w:cs="Arial"/>
          <w:sz w:val="22"/>
          <w:szCs w:val="22"/>
        </w:rPr>
        <w:t xml:space="preserve">. </w:t>
      </w:r>
      <w:r w:rsidRPr="00713330">
        <w:rPr>
          <w:rFonts w:ascii="Arial" w:hAnsi="Arial" w:cs="Arial"/>
          <w:sz w:val="22"/>
          <w:szCs w:val="22"/>
        </w:rPr>
        <w:t xml:space="preserve">II. La segunda sección (c.18-21) se ocupa de moral, y en ella no se nota ninguna preferencia especial. Lo mismo que la Didaché, describe las dos vías del hombre, la de la vida y la de la muerte; a la primera llama camino de luz; a la segunda, camino de tinieblas. Para delinear la </w:t>
      </w:r>
      <w:r w:rsidRPr="00713330">
        <w:rPr>
          <w:rStyle w:val="Textoennegrita"/>
          <w:rFonts w:ascii="Arial" w:hAnsi="Arial" w:cs="Arial"/>
          <w:sz w:val="22"/>
          <w:szCs w:val="22"/>
        </w:rPr>
        <w:t>senda de la luz da un gran número de preceptos morales que recuerdan el decálogo.</w:t>
      </w:r>
      <w:r w:rsidRPr="00713330">
        <w:rPr>
          <w:rFonts w:ascii="Arial" w:hAnsi="Arial" w:cs="Arial"/>
          <w:sz w:val="22"/>
          <w:szCs w:val="22"/>
        </w:rPr>
        <w:t xml:space="preserve"> El pasaje que trata de la senda de las tinieblas consiste en un catálogo de vicios y pecados.</w:t>
      </w:r>
    </w:p>
    <w:p w:rsidR="00713330" w:rsidRPr="00713330" w:rsidRDefault="00713330" w:rsidP="00713330">
      <w:pPr>
        <w:pStyle w:val="Ttulo2"/>
        <w:shd w:val="clear" w:color="auto" w:fill="F7F3E1"/>
        <w:spacing w:line="312" w:lineRule="auto"/>
        <w:ind w:right="122"/>
        <w:jc w:val="both"/>
        <w:rPr>
          <w:rFonts w:ascii="Arial" w:hAnsi="Arial" w:cs="Arial"/>
          <w:sz w:val="22"/>
          <w:szCs w:val="22"/>
        </w:rPr>
      </w:pPr>
      <w:r w:rsidRPr="00713330">
        <w:rPr>
          <w:rFonts w:ascii="Arial" w:hAnsi="Arial" w:cs="Arial"/>
          <w:sz w:val="22"/>
          <w:szCs w:val="22"/>
        </w:rPr>
        <w:t>2. Doctrina.</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Aunque el elemento doctrinal esté desparramado en este libro, hay detalles que merecen destacarse.</w:t>
      </w:r>
    </w:p>
    <w:p w:rsidR="00713330" w:rsidRPr="00713330" w:rsidRDefault="00713330" w:rsidP="00713330">
      <w:pPr>
        <w:pStyle w:val="NormalWeb"/>
        <w:shd w:val="clear" w:color="auto" w:fill="FFFFFF"/>
        <w:spacing w:before="0" w:after="0"/>
        <w:jc w:val="both"/>
        <w:rPr>
          <w:rFonts w:ascii="Arial" w:hAnsi="Arial" w:cs="Arial"/>
          <w:sz w:val="22"/>
          <w:szCs w:val="22"/>
        </w:rPr>
      </w:pPr>
      <w:r w:rsidRPr="00713330">
        <w:rPr>
          <w:rStyle w:val="num"/>
          <w:rFonts w:ascii="Arial" w:hAnsi="Arial" w:cs="Arial"/>
          <w:sz w:val="22"/>
          <w:szCs w:val="22"/>
        </w:rPr>
        <w:t xml:space="preserve">1) </w:t>
      </w:r>
      <w:r w:rsidRPr="00713330">
        <w:rPr>
          <w:rFonts w:ascii="Arial" w:hAnsi="Arial" w:cs="Arial"/>
          <w:sz w:val="22"/>
          <w:szCs w:val="22"/>
        </w:rPr>
        <w:t xml:space="preserve">Bernabé proclama </w:t>
      </w:r>
      <w:r w:rsidRPr="00713330">
        <w:rPr>
          <w:rStyle w:val="Textoennegrita"/>
          <w:rFonts w:ascii="Arial" w:hAnsi="Arial" w:cs="Arial"/>
          <w:sz w:val="22"/>
          <w:szCs w:val="22"/>
        </w:rPr>
        <w:t>la preexistencia de Cristo.</w:t>
      </w:r>
      <w:r w:rsidRPr="00713330">
        <w:rPr>
          <w:rFonts w:ascii="Arial" w:hAnsi="Arial" w:cs="Arial"/>
          <w:sz w:val="22"/>
          <w:szCs w:val="22"/>
        </w:rPr>
        <w:t xml:space="preserve"> Estaba con Dios Padre cuando éste creó el mundo; las palabras "hagamos al hombre a imagen y semejanza nuestra" fueron dichas por el Padre a su divino Hijo (5,5). Bernabé emplea, además, la parábola del sol, tan popular en la teología alejandrina, para explicar la encarnación:</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Porque de no haber venido en carne, tampoco hubieran los hombres podido salvarse mirándole a El, como quiera que mirando al sol, que al cabo está destinado a no ser, como obra que es de sus manos, no son capaces de fijar los ojos en sus rayos (5,10: BAC 65,780). Dos fueron las causas de la encarnación:</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Primeramente: "El Hijo de Dios vino en carne a fin de que llegara a su colmo la consumación de los pecados de quienes persiguieron de muerte a sus profetas. Luego para ese fin sufrió."</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En segundo lugar: "El mismo fue quien quiso así padecer" (5,11-13: BAC 65,780-781).</w:t>
      </w:r>
    </w:p>
    <w:p w:rsidR="00713330" w:rsidRPr="00713330" w:rsidRDefault="00713330" w:rsidP="00713330">
      <w:pPr>
        <w:pStyle w:val="NormalWeb"/>
        <w:shd w:val="clear" w:color="auto" w:fill="FFFFFF"/>
        <w:spacing w:before="0" w:after="0"/>
        <w:jc w:val="both"/>
        <w:rPr>
          <w:rFonts w:ascii="Arial" w:hAnsi="Arial" w:cs="Arial"/>
          <w:sz w:val="22"/>
          <w:szCs w:val="22"/>
        </w:rPr>
      </w:pPr>
      <w:r w:rsidRPr="00713330">
        <w:rPr>
          <w:rStyle w:val="num"/>
          <w:rFonts w:ascii="Arial" w:hAnsi="Arial" w:cs="Arial"/>
          <w:sz w:val="22"/>
          <w:szCs w:val="22"/>
        </w:rPr>
        <w:t xml:space="preserve">2) </w:t>
      </w:r>
      <w:r w:rsidRPr="00713330">
        <w:rPr>
          <w:rFonts w:ascii="Arial" w:hAnsi="Arial" w:cs="Arial"/>
          <w:sz w:val="22"/>
          <w:szCs w:val="22"/>
        </w:rPr>
        <w:t xml:space="preserve">Los capítulos 6 y 11 describen bellamente cómo </w:t>
      </w:r>
      <w:r w:rsidRPr="00713330">
        <w:rPr>
          <w:rStyle w:val="Textoennegrita"/>
          <w:rFonts w:ascii="Arial" w:hAnsi="Arial" w:cs="Arial"/>
          <w:sz w:val="22"/>
          <w:szCs w:val="22"/>
        </w:rPr>
        <w:t>el bautismo confiere al ser humano</w:t>
      </w:r>
      <w:r w:rsidRPr="00713330">
        <w:rPr>
          <w:rFonts w:ascii="Arial" w:hAnsi="Arial" w:cs="Arial"/>
          <w:sz w:val="22"/>
          <w:szCs w:val="22"/>
        </w:rPr>
        <w:t xml:space="preserve"> la adopción de hijos e imprime en su alma la imagen y semejanza de Dios:</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Habiéndonos renovado por el perdón de nuestros pecados, hizo de nosotros una forma nueva, hasta el punto de tener un alma de niño, como de veras nos ha plasmado El de nuevo. Y, en efecto, la Escritura dice de nosotros lo mismo que Dios dijo a su Hijo: "Hagamos al hombre a imagen y semejanza nuestra" (6,11-12: BAC 65,783).</w:t>
      </w:r>
    </w:p>
    <w:p w:rsidR="00713330" w:rsidRPr="00713330" w:rsidRDefault="00713330" w:rsidP="00713330">
      <w:pPr>
        <w:pStyle w:val="NormalWeb"/>
        <w:shd w:val="clear" w:color="auto" w:fill="FFFFFF"/>
        <w:spacing w:before="0" w:after="0"/>
        <w:jc w:val="both"/>
        <w:rPr>
          <w:rFonts w:ascii="Arial" w:hAnsi="Arial" w:cs="Arial"/>
          <w:sz w:val="22"/>
          <w:szCs w:val="22"/>
        </w:rPr>
      </w:pPr>
      <w:r w:rsidRPr="00713330">
        <w:rPr>
          <w:rStyle w:val="num"/>
          <w:rFonts w:ascii="Arial" w:hAnsi="Arial" w:cs="Arial"/>
          <w:sz w:val="22"/>
          <w:szCs w:val="22"/>
        </w:rPr>
        <w:t xml:space="preserve">3) </w:t>
      </w:r>
      <w:r w:rsidRPr="00713330">
        <w:rPr>
          <w:rFonts w:ascii="Arial" w:hAnsi="Arial" w:cs="Arial"/>
          <w:sz w:val="22"/>
          <w:szCs w:val="22"/>
        </w:rPr>
        <w:t xml:space="preserve">El bautismo transforma a las criaturas de Dios </w:t>
      </w:r>
      <w:r w:rsidRPr="00713330">
        <w:rPr>
          <w:rStyle w:val="Textoennegrita"/>
          <w:rFonts w:ascii="Arial" w:hAnsi="Arial" w:cs="Arial"/>
          <w:sz w:val="22"/>
          <w:szCs w:val="22"/>
        </w:rPr>
        <w:t>en templos del Espíritu Santo</w:t>
      </w:r>
      <w:r w:rsidRPr="00713330">
        <w:rPr>
          <w:rFonts w:ascii="Arial" w:hAnsi="Arial" w:cs="Arial"/>
          <w:sz w:val="22"/>
          <w:szCs w:val="22"/>
        </w:rPr>
        <w:t>:</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Quiero hablaros acerca del templo, cómo extraviados los miserables confiaron en el edificio y no en su Dios, que los creó, como si aquél fuera la casa de Dios. Pues, poco más o menos como los gentiles, le consagraron en el templo. Mas ¿cómo habla el Señor destruyéndolo? Aprendedlo: "¿Quién midió el cielo con el palmo y la tierra con el pulgar? ¿No he sido yo? - dice el Señor - . El cielo es mi trono, y la tierra escabel de mis pies: ¿Qué casa es esa que me vais a edificar o cuál es el lugar de mi descanso? Luego ya os dais cuenta de que su esperanza es vana." Y, por remate, otra vez les dice: "He aquí que los que han destruido este templo, ellos mismos lo edificarán." Así está sucediendo, pues por haberse ellos sublevado, fue derribado el templo por sus enemigos, y ahora hasta los mismos siervos de sus enemigos lo van a reconstruir...</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Pues inquiramos si existe un templo de Dios. Existe, ciertamente, allí donde El mismo dice que lo ha de hacer y perfeccionar. Está, efectivamente, escrito: "Y será, cumplida la semana, que se edificará el templo de Dios gloriosamente en el nombre del Señor."</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Hallo, pues, que existe un templo. ¿Cómo se edificará en el nombre del Señor? Aprendedlo. Antes de creer nosotros en Dios, la morada de nuestro corazón era corruptible y flaca, como templo verdaderamente edificado a mano, pues estaba llena de idolatría y era casa de demonios, porque no hacíamos sino cuanto era contrario a Dios. "Mas se edificará en el nombre del Señor." Atended a que el templo del Señor se edifique gloriosamente. ¿De qué manera? Aprendedlo. Después de recibido el perdón de los pecados, y por nuestra esperanza en el Nombre, fuimos hechos nuevos, creados otra vez desde el principio. Por lo cual, Dios habita verdaderamente en nosotros, en la morada de nuestro corazón (16,1-4,6-8).</w:t>
      </w:r>
    </w:p>
    <w:p w:rsidR="00713330" w:rsidRPr="00713330" w:rsidRDefault="00713330" w:rsidP="00713330">
      <w:pPr>
        <w:pStyle w:val="NormalWeb"/>
        <w:shd w:val="clear" w:color="auto" w:fill="FFFFFF"/>
        <w:spacing w:before="0" w:after="0"/>
        <w:jc w:val="both"/>
        <w:rPr>
          <w:rFonts w:ascii="Arial" w:hAnsi="Arial" w:cs="Arial"/>
          <w:sz w:val="22"/>
          <w:szCs w:val="22"/>
        </w:rPr>
      </w:pPr>
      <w:r w:rsidRPr="00713330">
        <w:rPr>
          <w:rStyle w:val="num"/>
          <w:rFonts w:ascii="Arial" w:hAnsi="Arial" w:cs="Arial"/>
          <w:sz w:val="22"/>
          <w:szCs w:val="22"/>
        </w:rPr>
        <w:t xml:space="preserve">4) </w:t>
      </w:r>
      <w:r w:rsidRPr="00713330">
        <w:rPr>
          <w:rFonts w:ascii="Arial" w:hAnsi="Arial" w:cs="Arial"/>
          <w:sz w:val="22"/>
          <w:szCs w:val="22"/>
        </w:rPr>
        <w:t xml:space="preserve">En el capítulo 15,8 insiste en la celebración del día octavo de la semana, o sea del </w:t>
      </w:r>
      <w:r w:rsidRPr="00713330">
        <w:rPr>
          <w:rStyle w:val="Textoennegrita"/>
          <w:rFonts w:ascii="Arial" w:hAnsi="Arial" w:cs="Arial"/>
          <w:sz w:val="22"/>
          <w:szCs w:val="22"/>
        </w:rPr>
        <w:t>domingo, en lugar del sábado de los judíos, por ser aquél el día de la resurrección:</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Por último, les dice: "Vuestros novilunios y vuestros sábados no los aguanto." Mirad cómo dice: No me son aceptos vuestros sábados de ahora, sino el que yo he hecho, aquel en que, haciendo descansar todas las cosas, haré el principio de un día octavo, es decir, el principio de otro mundo. Por eso justamente nosotros celebramos también el día octavo con regocijo, por ser día en que Jesucristo resucitó de entre los muertos y, después de manifestado, subió a los cielos (15,8-9).</w:t>
      </w:r>
    </w:p>
    <w:p w:rsidR="00713330" w:rsidRPr="00713330" w:rsidRDefault="00713330" w:rsidP="00713330">
      <w:pPr>
        <w:pStyle w:val="NormalWeb"/>
        <w:shd w:val="clear" w:color="auto" w:fill="FFFFFF"/>
        <w:spacing w:before="0" w:after="0"/>
        <w:jc w:val="both"/>
        <w:rPr>
          <w:rFonts w:ascii="Arial" w:hAnsi="Arial" w:cs="Arial"/>
          <w:sz w:val="22"/>
          <w:szCs w:val="22"/>
        </w:rPr>
      </w:pPr>
      <w:r w:rsidRPr="00713330">
        <w:rPr>
          <w:rStyle w:val="num"/>
          <w:rFonts w:ascii="Arial" w:hAnsi="Arial" w:cs="Arial"/>
          <w:sz w:val="22"/>
          <w:szCs w:val="22"/>
        </w:rPr>
        <w:t xml:space="preserve">5) </w:t>
      </w:r>
      <w:r w:rsidRPr="00713330">
        <w:rPr>
          <w:rFonts w:ascii="Arial" w:hAnsi="Arial" w:cs="Arial"/>
          <w:sz w:val="22"/>
          <w:szCs w:val="22"/>
        </w:rPr>
        <w:t>La vida del niño, antes como después de su nacimiento, está protegida por la ley: "No matarás a tu hijo en el seno de la madre ni, una vez nacido, le quitarás la vida" (19,5).</w:t>
      </w:r>
    </w:p>
    <w:p w:rsidR="00713330" w:rsidRPr="00713330" w:rsidRDefault="00713330" w:rsidP="00713330">
      <w:pPr>
        <w:pStyle w:val="NormalWeb"/>
        <w:shd w:val="clear" w:color="auto" w:fill="FFFFFF"/>
        <w:spacing w:before="0" w:after="0"/>
        <w:jc w:val="both"/>
        <w:rPr>
          <w:rFonts w:ascii="Arial" w:hAnsi="Arial" w:cs="Arial"/>
          <w:sz w:val="22"/>
          <w:szCs w:val="22"/>
        </w:rPr>
      </w:pPr>
      <w:r w:rsidRPr="00713330">
        <w:rPr>
          <w:rStyle w:val="num"/>
          <w:rFonts w:ascii="Arial" w:hAnsi="Arial" w:cs="Arial"/>
          <w:sz w:val="22"/>
          <w:szCs w:val="22"/>
        </w:rPr>
        <w:t xml:space="preserve">6) </w:t>
      </w:r>
      <w:r w:rsidRPr="00713330">
        <w:rPr>
          <w:rFonts w:ascii="Arial" w:hAnsi="Arial" w:cs="Arial"/>
          <w:sz w:val="22"/>
          <w:szCs w:val="22"/>
        </w:rPr>
        <w:t xml:space="preserve">El autor es </w:t>
      </w:r>
      <w:r w:rsidRPr="00713330">
        <w:rPr>
          <w:rStyle w:val="Textoennegrita"/>
          <w:rFonts w:ascii="Arial" w:hAnsi="Arial" w:cs="Arial"/>
          <w:sz w:val="22"/>
          <w:szCs w:val="22"/>
        </w:rPr>
        <w:t>milenarista</w:t>
      </w:r>
      <w:r w:rsidRPr="00713330">
        <w:rPr>
          <w:rFonts w:ascii="Arial" w:hAnsi="Arial" w:cs="Arial"/>
          <w:sz w:val="22"/>
          <w:szCs w:val="22"/>
        </w:rPr>
        <w:t>. Los seis días de la creación significan un período de seis mil años, porque mil años son como un día a los ojos del Señor. En seis días, esto es, "en seis mil años, todo quedará completado, después de lo cual este tiempo perverso será destruido y el Hijo de Dios vendrá de nuevo a juzgar a los impíos y a cambiar el sol y la luna y las estrellas, y el día séptimo descansará. Entonces amanecerá el sábado del reino milenario (15,1-9).</w:t>
      </w:r>
    </w:p>
    <w:p w:rsidR="00713330" w:rsidRPr="00713330" w:rsidRDefault="00713330" w:rsidP="00713330">
      <w:pPr>
        <w:pStyle w:val="Ttulo2"/>
        <w:shd w:val="clear" w:color="auto" w:fill="F7F3E1"/>
        <w:spacing w:line="312" w:lineRule="auto"/>
        <w:ind w:right="122"/>
        <w:jc w:val="both"/>
        <w:rPr>
          <w:rFonts w:ascii="Arial" w:hAnsi="Arial" w:cs="Arial"/>
          <w:sz w:val="22"/>
          <w:szCs w:val="22"/>
        </w:rPr>
      </w:pPr>
      <w:r w:rsidRPr="00713330">
        <w:rPr>
          <w:rFonts w:ascii="Arial" w:hAnsi="Arial" w:cs="Arial"/>
          <w:sz w:val="22"/>
          <w:szCs w:val="22"/>
        </w:rPr>
        <w:t>3. El autor.</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 xml:space="preserve">En la carta no dice en ninguna parte que Bernabé sea su autor, </w:t>
      </w:r>
      <w:r w:rsidRPr="00713330">
        <w:rPr>
          <w:rStyle w:val="Textoennegrita"/>
          <w:rFonts w:ascii="Arial" w:hAnsi="Arial" w:cs="Arial"/>
          <w:sz w:val="22"/>
          <w:szCs w:val="22"/>
        </w:rPr>
        <w:t>ni siquiera reclama para sí un origen apostólico.</w:t>
      </w:r>
      <w:r w:rsidRPr="00713330">
        <w:rPr>
          <w:rFonts w:ascii="Arial" w:hAnsi="Arial" w:cs="Arial"/>
          <w:sz w:val="22"/>
          <w:szCs w:val="22"/>
        </w:rPr>
        <w:t xml:space="preserve"> Sin embargo, desde los más remotos tiempos la tradición la ha atribuido al apóstol Bernabé, compañero y colaborador de San Pablo. El </w:t>
      </w:r>
      <w:r w:rsidRPr="00713330">
        <w:rPr>
          <w:rStyle w:val="nfasis"/>
          <w:rFonts w:ascii="Arial" w:hAnsi="Arial" w:cs="Arial"/>
          <w:sz w:val="22"/>
          <w:szCs w:val="22"/>
        </w:rPr>
        <w:t>Codex Sinaiticus</w:t>
      </w:r>
      <w:r w:rsidRPr="00713330">
        <w:rPr>
          <w:rFonts w:ascii="Arial" w:hAnsi="Arial" w:cs="Arial"/>
          <w:sz w:val="22"/>
          <w:szCs w:val="22"/>
        </w:rPr>
        <w:t xml:space="preserve">, del siglo IV, cita la epístola entre los libros canónicos del Nuevo Testamento, inmediatamente después del Apocalipsis de San Juan. </w:t>
      </w:r>
      <w:r w:rsidRPr="00713330">
        <w:rPr>
          <w:rStyle w:val="Textoennegrita"/>
          <w:rFonts w:ascii="Arial" w:hAnsi="Arial" w:cs="Arial"/>
          <w:sz w:val="22"/>
          <w:szCs w:val="22"/>
        </w:rPr>
        <w:t>Clemente de Alejandría</w:t>
      </w:r>
      <w:r w:rsidRPr="00713330">
        <w:rPr>
          <w:rFonts w:ascii="Arial" w:hAnsi="Arial" w:cs="Arial"/>
          <w:sz w:val="22"/>
          <w:szCs w:val="22"/>
        </w:rPr>
        <w:t xml:space="preserve"> toma de ella muchos pasajes que atribuye al apóstol Bernabé. Orígenes la llama </w:t>
      </w:r>
      <w:r w:rsidRPr="00713330">
        <w:rPr>
          <w:rStyle w:val="griego"/>
          <w:rFonts w:ascii="Arial" w:hAnsi="Arial" w:cs="Arial"/>
          <w:sz w:val="22"/>
          <w:szCs w:val="22"/>
        </w:rPr>
        <w:t>Καθολική έπιστολή</w:t>
      </w:r>
      <w:r w:rsidRPr="00713330">
        <w:rPr>
          <w:rFonts w:ascii="Arial" w:hAnsi="Arial" w:cs="Arial"/>
          <w:sz w:val="22"/>
          <w:szCs w:val="22"/>
        </w:rPr>
        <w:t xml:space="preserve"> y la enumera entre los libros de la Sagrada Escritura. Eusebio la relega a la categoría de libros controvertidos, y San Jerónimo la cuenta entre los apócrifos. La crítica moderna ha establecido de una manera definitiva que el apóstol Bernabé no es su autor, porque en la carta se repudia dura y absolutamente el Antiguo Testamento. Por razón de esta pronunciada antipatía contra todo lo judío, Bernabé queda descartado como autor de la epístola. Por lo demás, se advierte un abismo entre las doctrinas de San Pablo, cuyo compañero de misión fue Bernabé, y las opiniones que se expresan en la epístola. Pablo reconoció el Antiguo Testamento como institución divinamente ordenada; en cambio, la Epístola de Bernabé habla de él como de un engaño diabólico (9,4). Hay, además, razones históricas para negar a Bernabé la paternidad literaria de esta epístola, puesto que es absolutamente cierto que fue escrita después de la destrucción de Jerusalén; el capítulo 16 lo prueba bien a las claras.</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 xml:space="preserve">El uso del </w:t>
      </w:r>
      <w:r w:rsidRPr="00713330">
        <w:rPr>
          <w:rStyle w:val="Textoennegrita"/>
          <w:rFonts w:ascii="Arial" w:hAnsi="Arial" w:cs="Arial"/>
          <w:sz w:val="22"/>
          <w:szCs w:val="22"/>
        </w:rPr>
        <w:t>método alegórico</w:t>
      </w:r>
      <w:r w:rsidRPr="00713330">
        <w:rPr>
          <w:rFonts w:ascii="Arial" w:hAnsi="Arial" w:cs="Arial"/>
          <w:sz w:val="22"/>
          <w:szCs w:val="22"/>
        </w:rPr>
        <w:t xml:space="preserve"> apunta hacia Alejandría como patria del autor. La influencia de Filón es innegable. Esto explicaría también, en parte, la alta estima en que tuvieron la epístola los </w:t>
      </w:r>
      <w:r w:rsidRPr="00713330">
        <w:rPr>
          <w:rStyle w:val="Textoennegrita"/>
          <w:rFonts w:ascii="Arial" w:hAnsi="Arial" w:cs="Arial"/>
          <w:sz w:val="22"/>
          <w:szCs w:val="22"/>
        </w:rPr>
        <w:t>teólogos alejandrinos</w:t>
      </w:r>
      <w:r w:rsidRPr="00713330">
        <w:rPr>
          <w:rFonts w:ascii="Arial" w:hAnsi="Arial" w:cs="Arial"/>
          <w:sz w:val="22"/>
          <w:szCs w:val="22"/>
        </w:rPr>
        <w:t>.</w:t>
      </w:r>
    </w:p>
    <w:p w:rsidR="00713330" w:rsidRPr="00713330" w:rsidRDefault="00713330" w:rsidP="00713330">
      <w:pPr>
        <w:pStyle w:val="Ttulo2"/>
        <w:shd w:val="clear" w:color="auto" w:fill="F7F3E1"/>
        <w:spacing w:line="312" w:lineRule="auto"/>
        <w:ind w:right="122"/>
        <w:jc w:val="both"/>
        <w:rPr>
          <w:rFonts w:ascii="Arial" w:hAnsi="Arial" w:cs="Arial"/>
          <w:sz w:val="22"/>
          <w:szCs w:val="22"/>
        </w:rPr>
      </w:pPr>
      <w:r w:rsidRPr="00713330">
        <w:rPr>
          <w:rFonts w:ascii="Arial" w:hAnsi="Arial" w:cs="Arial"/>
          <w:sz w:val="22"/>
          <w:szCs w:val="22"/>
        </w:rPr>
        <w:t>4. Fecha de composición</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 xml:space="preserve">La destrucción del templo de Jerusalén, mencionada en la epístola, permite fijar con certeza el </w:t>
      </w:r>
      <w:r w:rsidRPr="00713330">
        <w:rPr>
          <w:rStyle w:val="nfasis"/>
          <w:rFonts w:ascii="Arial" w:hAnsi="Arial" w:cs="Arial"/>
          <w:sz w:val="22"/>
          <w:szCs w:val="22"/>
        </w:rPr>
        <w:t>terminus post quem</w:t>
      </w:r>
      <w:r w:rsidRPr="00713330">
        <w:rPr>
          <w:rFonts w:ascii="Arial" w:hAnsi="Arial" w:cs="Arial"/>
          <w:sz w:val="22"/>
          <w:szCs w:val="22"/>
        </w:rPr>
        <w:t xml:space="preserve">. En cambio, en lo que se refiere al </w:t>
      </w:r>
      <w:r w:rsidRPr="00713330">
        <w:rPr>
          <w:rStyle w:val="nfasis"/>
          <w:rFonts w:ascii="Arial" w:hAnsi="Arial" w:cs="Arial"/>
          <w:sz w:val="22"/>
          <w:szCs w:val="22"/>
        </w:rPr>
        <w:t>terminus ante quem</w:t>
      </w:r>
      <w:r w:rsidRPr="00713330">
        <w:rPr>
          <w:rFonts w:ascii="Arial" w:hAnsi="Arial" w:cs="Arial"/>
          <w:sz w:val="22"/>
          <w:szCs w:val="22"/>
        </w:rPr>
        <w:t xml:space="preserve">, las opiniones son muy divergentes. En el capítulo 16,3-4, se dice así: "Y, por remate, otra vez les dice: He aquí que los que han destruido este templo, ellos mismos lo reedificarán. Así está sucediendo, pues por haberse ellos sublevado, fue derribado el templo por sus enemigos, y ahora los mismos siervos de sus enemigos lo van a reconstruir." La frase que empieza con las palabras "y ahora" nos lleva a concluir que ya había transcurrido algún tiempo desde la destrucción del templo. En lo que se dice sobre la planeada reconstrucción le parece ver a Harnack una alusión a la construcción del templo de Júpiter en Jerusalén durante el reinado de Adriano (117-138). Basándose en esto, Harnack fecha la composición de la epístola en el año 130 ó 131. Funk opina que este pasaje se refiere a la erección del templo </w:t>
      </w:r>
      <w:r w:rsidRPr="00713330">
        <w:rPr>
          <w:rStyle w:val="nfasis"/>
          <w:rFonts w:ascii="Arial" w:hAnsi="Arial" w:cs="Arial"/>
          <w:sz w:val="22"/>
          <w:szCs w:val="22"/>
        </w:rPr>
        <w:t>sobrenatural</w:t>
      </w:r>
      <w:r w:rsidRPr="00713330">
        <w:rPr>
          <w:rFonts w:ascii="Arial" w:hAnsi="Arial" w:cs="Arial"/>
          <w:sz w:val="22"/>
          <w:szCs w:val="22"/>
        </w:rPr>
        <w:t xml:space="preserve"> de Dios, la Iglesia; pero su teoría no es nada convincente. Menos satisfactoria es aún la conclusión que respecto a la fecha de composición saca del capítulo 4,4-5, donde se cita a Daniel 7,24 y 7,7-8. El pasaje dice: "Además, el profeta dice así: Diez reinos reinarán sobre la tierra, y tras ellos se levantará un rey pequeño que humillará de un golpe a tres reyes. Igualmente Daniel dice sobre lo mismo: Y vi la cuarta bestia, mala y fuerte, y más fiera que todas las otras bestias de la tierra, y cómo de ella brotaban diez cuernos, y de ellos un cuerno pequeño como un retoño, y cómo éste humilló de un golpe a tres de los cuernos mayores." Funk identifica al emperador romano Nerva (96-98) con el undécimo pequeño rey de esta profecía. Según él, Nerva "humilló de un golpe a tres revés," por cuanto que alcanzó el trono después de asesinar a Domiciano, en quien se extinguió la dinastía de los Flavianos, compuesta de tres miembros, los emperadores Vespasiano, Tito y el propio Domiciano. Pero únicamente mediante una interpretación tan arbitraria pueden aplicarse a Nerva las palabras de Daniel. Por otra parte, el método adoptado por Harnack para fechar la carta tiene también dificultades. Todo depende de qué destrucción y de qué reconstrucción del templo se trate en la epístola. Lietzmann cree que el autor se refiérela la segunda destrucción del templo en la guerra de Barcochba. La obra habría sido compuesta después de empezada esta insurrección, cuyo fin coincide con el último año del reinado de Adriano (138). No cabe defender una fecha posterior a ésta. En otro tiempo se dudó de la homogeneidad de la </w:t>
      </w:r>
      <w:r w:rsidRPr="00713330">
        <w:rPr>
          <w:rStyle w:val="nfasis"/>
          <w:rFonts w:ascii="Arial" w:hAnsi="Arial" w:cs="Arial"/>
          <w:sz w:val="22"/>
          <w:szCs w:val="22"/>
        </w:rPr>
        <w:t>Epístola de Bernabé</w:t>
      </w:r>
      <w:r w:rsidRPr="00713330">
        <w:rPr>
          <w:rFonts w:ascii="Arial" w:hAnsi="Arial" w:cs="Arial"/>
          <w:sz w:val="22"/>
          <w:szCs w:val="22"/>
        </w:rPr>
        <w:t xml:space="preserve"> y se intentó descubrir interpolaciones. Sin embargo, Muilenbereg ha demostrado satisfactoriamente que el documento es, desde el principio hasta el fin de un mismo autor, sin que sea posible discernir adiciones ulteriores. Las incoherencias en que cae con frecuencia deben atribuirse al poco dominio que el autor tiene del lenguaje y de la composición. De vez en cuando salta bruscamente de un tema a otro, y a menudo rompe el hilo de su discurso para intercalar exhortaciones morales que no tienen nada Que ver con lo que está diciendo. La exposición de las dos vías, la del bien y la del mal, está tomada dé la misma fuente que la de la </w:t>
      </w:r>
      <w:r w:rsidRPr="00713330">
        <w:rPr>
          <w:rStyle w:val="nfasis"/>
          <w:rFonts w:ascii="Arial" w:hAnsi="Arial" w:cs="Arial"/>
          <w:sz w:val="22"/>
          <w:szCs w:val="22"/>
        </w:rPr>
        <w:t>Didaché</w:t>
      </w:r>
      <w:r w:rsidRPr="00713330">
        <w:rPr>
          <w:rFonts w:ascii="Arial" w:hAnsi="Arial" w:cs="Arial"/>
          <w:sz w:val="22"/>
          <w:szCs w:val="22"/>
        </w:rPr>
        <w:t xml:space="preserve">. No obstante, se puede afirmar con certeza que el autor no usó la </w:t>
      </w:r>
      <w:r w:rsidRPr="00713330">
        <w:rPr>
          <w:rStyle w:val="nfasis"/>
          <w:rFonts w:ascii="Arial" w:hAnsi="Arial" w:cs="Arial"/>
          <w:sz w:val="22"/>
          <w:szCs w:val="22"/>
        </w:rPr>
        <w:t>Didaché</w:t>
      </w:r>
      <w:r w:rsidRPr="00713330">
        <w:rPr>
          <w:rFonts w:ascii="Arial" w:hAnsi="Arial" w:cs="Arial"/>
          <w:sz w:val="22"/>
          <w:szCs w:val="22"/>
        </w:rPr>
        <w:t xml:space="preserve">. El análisis de la </w:t>
      </w:r>
      <w:r w:rsidRPr="00713330">
        <w:rPr>
          <w:rStyle w:val="nfasis"/>
          <w:rFonts w:ascii="Arial" w:hAnsi="Arial" w:cs="Arial"/>
          <w:sz w:val="22"/>
          <w:szCs w:val="22"/>
        </w:rPr>
        <w:t>Epístola de Bernabé</w:t>
      </w:r>
      <w:r w:rsidRPr="00713330">
        <w:rPr>
          <w:rFonts w:ascii="Arial" w:hAnsi="Arial" w:cs="Arial"/>
          <w:sz w:val="22"/>
          <w:szCs w:val="22"/>
        </w:rPr>
        <w:t xml:space="preserve"> indica que su autor no solamente </w:t>
      </w:r>
      <w:r w:rsidRPr="00713330">
        <w:rPr>
          <w:rStyle w:val="Textoennegrita"/>
          <w:rFonts w:ascii="Arial" w:hAnsi="Arial" w:cs="Arial"/>
          <w:sz w:val="22"/>
          <w:szCs w:val="22"/>
        </w:rPr>
        <w:t>tuvo a su disposición esa fuente común y las Sagradas Escrituras, sino también otras fuentes que no es posible identificar.</w:t>
      </w:r>
    </w:p>
    <w:p w:rsidR="00713330" w:rsidRPr="00713330" w:rsidRDefault="00713330" w:rsidP="00713330">
      <w:pPr>
        <w:pStyle w:val="Ttulo2"/>
        <w:shd w:val="clear" w:color="auto" w:fill="F7F3E1"/>
        <w:spacing w:line="312" w:lineRule="auto"/>
        <w:ind w:right="122"/>
        <w:jc w:val="both"/>
        <w:rPr>
          <w:rFonts w:ascii="Arial" w:hAnsi="Arial" w:cs="Arial"/>
          <w:sz w:val="22"/>
          <w:szCs w:val="22"/>
        </w:rPr>
      </w:pPr>
      <w:r w:rsidRPr="00713330">
        <w:rPr>
          <w:rFonts w:ascii="Arial" w:hAnsi="Arial" w:cs="Arial"/>
          <w:sz w:val="22"/>
          <w:szCs w:val="22"/>
        </w:rPr>
        <w:t>5. Transmisión del texto.</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Para el texto griego tenemos las siguientes autoridades:</w:t>
      </w:r>
    </w:p>
    <w:p w:rsidR="00713330" w:rsidRPr="00713330" w:rsidRDefault="00713330" w:rsidP="00713330">
      <w:pPr>
        <w:pStyle w:val="NormalWeb"/>
        <w:shd w:val="clear" w:color="auto" w:fill="FFFFFF"/>
        <w:spacing w:before="0" w:after="0"/>
        <w:jc w:val="both"/>
        <w:rPr>
          <w:rFonts w:ascii="Arial" w:hAnsi="Arial" w:cs="Arial"/>
          <w:sz w:val="22"/>
          <w:szCs w:val="22"/>
        </w:rPr>
      </w:pPr>
      <w:r w:rsidRPr="00713330">
        <w:rPr>
          <w:rStyle w:val="num"/>
          <w:rFonts w:ascii="Arial" w:hAnsi="Arial" w:cs="Arial"/>
          <w:sz w:val="22"/>
          <w:szCs w:val="22"/>
        </w:rPr>
        <w:t xml:space="preserve">1) </w:t>
      </w:r>
      <w:r w:rsidRPr="00713330">
        <w:rPr>
          <w:rFonts w:ascii="Arial" w:hAnsi="Arial" w:cs="Arial"/>
          <w:sz w:val="22"/>
          <w:szCs w:val="22"/>
        </w:rPr>
        <w:t xml:space="preserve">El </w:t>
      </w:r>
      <w:r w:rsidRPr="00713330">
        <w:rPr>
          <w:rStyle w:val="nfasis"/>
          <w:rFonts w:ascii="Arial" w:hAnsi="Arial" w:cs="Arial"/>
          <w:sz w:val="22"/>
          <w:szCs w:val="22"/>
        </w:rPr>
        <w:t>Codex Sinaiticus</w:t>
      </w:r>
      <w:r w:rsidRPr="00713330">
        <w:rPr>
          <w:rFonts w:ascii="Arial" w:hAnsi="Arial" w:cs="Arial"/>
          <w:sz w:val="22"/>
          <w:szCs w:val="22"/>
        </w:rPr>
        <w:t>, del siglo IV, en otro tiempo en San Petersburgo y actualmente en Londres. Figura entre los libros del Nuevo Testamento, inmediatamente después del Apocalipsis.</w:t>
      </w:r>
    </w:p>
    <w:p w:rsidR="00713330" w:rsidRPr="00713330" w:rsidRDefault="00713330" w:rsidP="00713330">
      <w:pPr>
        <w:pStyle w:val="NormalWeb"/>
        <w:shd w:val="clear" w:color="auto" w:fill="FFFFFF"/>
        <w:spacing w:before="0" w:after="0"/>
        <w:jc w:val="both"/>
        <w:rPr>
          <w:rFonts w:ascii="Arial" w:hAnsi="Arial" w:cs="Arial"/>
          <w:sz w:val="22"/>
          <w:szCs w:val="22"/>
        </w:rPr>
      </w:pPr>
      <w:r w:rsidRPr="00713330">
        <w:rPr>
          <w:rStyle w:val="num"/>
          <w:rFonts w:ascii="Arial" w:hAnsi="Arial" w:cs="Arial"/>
          <w:sz w:val="22"/>
          <w:szCs w:val="22"/>
        </w:rPr>
        <w:t xml:space="preserve">2) </w:t>
      </w:r>
      <w:r w:rsidRPr="00713330">
        <w:rPr>
          <w:rFonts w:ascii="Arial" w:hAnsi="Arial" w:cs="Arial"/>
          <w:sz w:val="22"/>
          <w:szCs w:val="22"/>
        </w:rPr>
        <w:t xml:space="preserve">El </w:t>
      </w:r>
      <w:r w:rsidRPr="00713330">
        <w:rPr>
          <w:rStyle w:val="nfasis"/>
          <w:rFonts w:ascii="Arial" w:hAnsi="Arial" w:cs="Arial"/>
          <w:sz w:val="22"/>
          <w:szCs w:val="22"/>
        </w:rPr>
        <w:t>Codex Hierosolymitanus</w:t>
      </w:r>
      <w:r w:rsidRPr="00713330">
        <w:rPr>
          <w:rFonts w:ascii="Arial" w:hAnsi="Arial" w:cs="Arial"/>
          <w:sz w:val="22"/>
          <w:szCs w:val="22"/>
        </w:rPr>
        <w:t xml:space="preserve">, del año 1056, antiguamente en Constantinopla, hoy día en Jerusalén. Este códice fue descubierto por Bryennios en 1875 y contiene la </w:t>
      </w:r>
      <w:r w:rsidRPr="00713330">
        <w:rPr>
          <w:rStyle w:val="nfasis"/>
          <w:rFonts w:ascii="Arial" w:hAnsi="Arial" w:cs="Arial"/>
          <w:sz w:val="22"/>
          <w:szCs w:val="22"/>
        </w:rPr>
        <w:t>Epístola de Bernabé</w:t>
      </w:r>
      <w:r w:rsidRPr="00713330">
        <w:rPr>
          <w:rFonts w:ascii="Arial" w:hAnsi="Arial" w:cs="Arial"/>
          <w:sz w:val="22"/>
          <w:szCs w:val="22"/>
        </w:rPr>
        <w:t xml:space="preserve">, la </w:t>
      </w:r>
      <w:r w:rsidRPr="00713330">
        <w:rPr>
          <w:rStyle w:val="nfasis"/>
          <w:rFonts w:ascii="Arial" w:hAnsi="Arial" w:cs="Arial"/>
          <w:sz w:val="22"/>
          <w:szCs w:val="22"/>
        </w:rPr>
        <w:t>Didaché</w:t>
      </w:r>
      <w:r w:rsidRPr="00713330">
        <w:rPr>
          <w:rFonts w:ascii="Arial" w:hAnsi="Arial" w:cs="Arial"/>
          <w:sz w:val="22"/>
          <w:szCs w:val="22"/>
        </w:rPr>
        <w:t xml:space="preserve"> y la </w:t>
      </w:r>
      <w:r w:rsidRPr="00713330">
        <w:rPr>
          <w:rStyle w:val="nfasis"/>
          <w:rFonts w:ascii="Arial" w:hAnsi="Arial" w:cs="Arial"/>
          <w:sz w:val="22"/>
          <w:szCs w:val="22"/>
        </w:rPr>
        <w:t>Primera Carta de Clemente</w:t>
      </w:r>
      <w:r w:rsidRPr="00713330">
        <w:rPr>
          <w:rFonts w:ascii="Arial" w:hAnsi="Arial" w:cs="Arial"/>
          <w:sz w:val="22"/>
          <w:szCs w:val="22"/>
        </w:rPr>
        <w:t>.</w:t>
      </w:r>
    </w:p>
    <w:p w:rsidR="00713330" w:rsidRPr="00713330" w:rsidRDefault="00713330" w:rsidP="00713330">
      <w:pPr>
        <w:pStyle w:val="NormalWeb"/>
        <w:shd w:val="clear" w:color="auto" w:fill="FFFFFF"/>
        <w:spacing w:before="0" w:after="0"/>
        <w:jc w:val="both"/>
        <w:rPr>
          <w:rFonts w:ascii="Arial" w:hAnsi="Arial" w:cs="Arial"/>
          <w:sz w:val="22"/>
          <w:szCs w:val="22"/>
        </w:rPr>
      </w:pPr>
      <w:r w:rsidRPr="00713330">
        <w:rPr>
          <w:rStyle w:val="num"/>
          <w:rFonts w:ascii="Arial" w:hAnsi="Arial" w:cs="Arial"/>
          <w:sz w:val="22"/>
          <w:szCs w:val="22"/>
        </w:rPr>
        <w:t xml:space="preserve">3) </w:t>
      </w:r>
      <w:r w:rsidRPr="00713330">
        <w:rPr>
          <w:rFonts w:ascii="Arial" w:hAnsi="Arial" w:cs="Arial"/>
          <w:sz w:val="22"/>
          <w:szCs w:val="22"/>
        </w:rPr>
        <w:t xml:space="preserve">El </w:t>
      </w:r>
      <w:r w:rsidRPr="00713330">
        <w:rPr>
          <w:rStyle w:val="nfasis"/>
          <w:rFonts w:ascii="Arial" w:hAnsi="Arial" w:cs="Arial"/>
          <w:sz w:val="22"/>
          <w:szCs w:val="22"/>
        </w:rPr>
        <w:t>Codex Vaticanus Graec</w:t>
      </w:r>
      <w:r w:rsidRPr="00713330">
        <w:rPr>
          <w:rFonts w:ascii="Arial" w:hAnsi="Arial" w:cs="Arial"/>
          <w:sz w:val="22"/>
          <w:szCs w:val="22"/>
        </w:rPr>
        <w:t xml:space="preserve">. 859, del siglo XI, contiene, entre otras cosas, las cartas de San Ignacio, de San Policarpo y la </w:t>
      </w:r>
      <w:r w:rsidRPr="00713330">
        <w:rPr>
          <w:rStyle w:val="nfasis"/>
          <w:rFonts w:ascii="Arial" w:hAnsi="Arial" w:cs="Arial"/>
          <w:sz w:val="22"/>
          <w:szCs w:val="22"/>
        </w:rPr>
        <w:t>Epístola de Bernabé</w:t>
      </w:r>
      <w:r w:rsidRPr="00713330">
        <w:rPr>
          <w:rFonts w:ascii="Arial" w:hAnsi="Arial" w:cs="Arial"/>
          <w:sz w:val="22"/>
          <w:szCs w:val="22"/>
        </w:rPr>
        <w:t>. Faltan, empero, los capítulos 1,1-5.7. Esta laguna aparece también en manuscritos posteriores que dependen de este mismo arquetipo.</w:t>
      </w:r>
    </w:p>
    <w:p w:rsidR="00713330" w:rsidRPr="00713330" w:rsidRDefault="00713330" w:rsidP="00713330">
      <w:pPr>
        <w:pStyle w:val="NormalWeb"/>
        <w:shd w:val="clear" w:color="auto" w:fill="FFFFFF"/>
        <w:jc w:val="both"/>
        <w:rPr>
          <w:rFonts w:ascii="Arial" w:hAnsi="Arial" w:cs="Arial"/>
          <w:sz w:val="22"/>
          <w:szCs w:val="22"/>
        </w:rPr>
      </w:pPr>
      <w:r w:rsidRPr="00713330">
        <w:rPr>
          <w:rFonts w:ascii="Arial" w:hAnsi="Arial" w:cs="Arial"/>
          <w:sz w:val="22"/>
          <w:szCs w:val="22"/>
        </w:rPr>
        <w:t>La obra existe también en una traducción latina del siglo III. Fue copiada en el siglo X en el monasterio de Corbie y ahora se conserva en San Petersburgo. En este manuscrito faltan, sin embargo, los capítulos 18,1-29,9.</w:t>
      </w:r>
    </w:p>
    <w:p w:rsidR="00EA1037" w:rsidRPr="00713330" w:rsidRDefault="00EA1037" w:rsidP="00713330">
      <w:pPr>
        <w:jc w:val="both"/>
        <w:rPr>
          <w:rFonts w:ascii="Arial" w:hAnsi="Arial" w:cs="Arial"/>
          <w:sz w:val="22"/>
          <w:szCs w:val="22"/>
        </w:rPr>
      </w:pPr>
    </w:p>
    <w:sectPr w:rsidR="00EA1037" w:rsidRPr="0071333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0F6470"/>
    <w:rsid w:val="00713330"/>
    <w:rsid w:val="00873308"/>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link w:val="Ttulo1Car"/>
    <w:uiPriority w:val="99"/>
    <w:qFormat/>
    <w:rsid w:val="00713330"/>
    <w:pPr>
      <w:pBdr>
        <w:bottom w:val="single" w:sz="6" w:space="0" w:color="BF6060"/>
      </w:pBdr>
      <w:spacing w:before="120" w:after="360"/>
      <w:outlineLvl w:val="0"/>
    </w:pPr>
    <w:rPr>
      <w:b/>
      <w:bCs/>
      <w:color w:val="596F80"/>
      <w:spacing w:val="24"/>
      <w:kern w:val="36"/>
      <w:sz w:val="34"/>
      <w:szCs w:val="34"/>
    </w:rPr>
  </w:style>
  <w:style w:type="paragraph" w:styleId="Ttulo2">
    <w:name w:val="heading 2"/>
    <w:basedOn w:val="Normal"/>
    <w:link w:val="Ttulo2Car"/>
    <w:uiPriority w:val="99"/>
    <w:qFormat/>
    <w:rsid w:val="00713330"/>
    <w:pPr>
      <w:spacing w:before="120"/>
      <w:outlineLvl w:val="1"/>
    </w:pPr>
    <w:rPr>
      <w:b/>
      <w:bCs/>
      <w:color w:val="596F80"/>
      <w:sz w:val="26"/>
      <w:szCs w:val="26"/>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uiPriority w:val="9"/>
    <w:semiHidden/>
    <w:rPr>
      <w:rFonts w:ascii="Cambria" w:eastAsia="Times New Roman" w:hAnsi="Cambria" w:cs="Times New Roman"/>
      <w:b/>
      <w:bCs/>
      <w:i/>
      <w:iCs/>
      <w:sz w:val="28"/>
      <w:szCs w:val="28"/>
      <w:lang w:val="es-ES" w:eastAsia="es-ES"/>
    </w:rPr>
  </w:style>
  <w:style w:type="paragraph" w:styleId="NormalWeb">
    <w:name w:val="Normal (Web)"/>
    <w:basedOn w:val="Normal"/>
    <w:uiPriority w:val="99"/>
    <w:rsid w:val="00713330"/>
    <w:pPr>
      <w:spacing w:before="120" w:after="100" w:afterAutospacing="1" w:line="312" w:lineRule="auto"/>
    </w:pPr>
  </w:style>
  <w:style w:type="character" w:customStyle="1" w:styleId="num">
    <w:name w:val="num"/>
    <w:basedOn w:val="Fuentedeprrafopredeter"/>
    <w:uiPriority w:val="99"/>
    <w:rsid w:val="00713330"/>
    <w:rPr>
      <w:b/>
      <w:bCs/>
      <w:color w:val="BF6060"/>
    </w:rPr>
  </w:style>
  <w:style w:type="character" w:styleId="nfasis">
    <w:name w:val="Emphasis"/>
    <w:basedOn w:val="Fuentedeprrafopredeter"/>
    <w:uiPriority w:val="99"/>
    <w:qFormat/>
    <w:rsid w:val="00713330"/>
    <w:rPr>
      <w:i/>
      <w:iCs/>
    </w:rPr>
  </w:style>
  <w:style w:type="character" w:customStyle="1" w:styleId="griego">
    <w:name w:val="?griego?"/>
    <w:basedOn w:val="Fuentedeprrafopredeter"/>
    <w:uiPriority w:val="99"/>
    <w:rsid w:val="00713330"/>
  </w:style>
  <w:style w:type="character" w:styleId="Textoennegrita">
    <w:name w:val="Strong"/>
    <w:basedOn w:val="Fuentedeprrafopredeter"/>
    <w:uiPriority w:val="99"/>
    <w:qFormat/>
    <w:rsid w:val="00713330"/>
    <w:rPr>
      <w:b/>
      <w:bCs/>
    </w:rPr>
  </w:style>
</w:styles>
</file>

<file path=word/webSettings.xml><?xml version="1.0" encoding="utf-8"?>
<w:webSettings xmlns:r="http://schemas.openxmlformats.org/officeDocument/2006/relationships" xmlns:w="http://schemas.openxmlformats.org/wordprocessingml/2006/main">
  <w:divs>
    <w:div w:id="559560292">
      <w:marLeft w:val="0"/>
      <w:marRight w:val="0"/>
      <w:marTop w:val="0"/>
      <w:marBottom w:val="0"/>
      <w:divBdr>
        <w:top w:val="none" w:sz="0" w:space="0" w:color="auto"/>
        <w:left w:val="none" w:sz="0" w:space="0" w:color="auto"/>
        <w:bottom w:val="none" w:sz="0" w:space="0" w:color="auto"/>
        <w:right w:val="none" w:sz="0" w:space="0" w:color="auto"/>
      </w:divBdr>
      <w:divsChild>
        <w:div w:id="559560290">
          <w:marLeft w:val="0"/>
          <w:marRight w:val="0"/>
          <w:marTop w:val="0"/>
          <w:marBottom w:val="0"/>
          <w:divBdr>
            <w:top w:val="none" w:sz="0" w:space="0" w:color="auto"/>
            <w:left w:val="none" w:sz="0" w:space="0" w:color="auto"/>
            <w:bottom w:val="none" w:sz="0" w:space="0" w:color="auto"/>
            <w:right w:val="none" w:sz="0" w:space="0" w:color="auto"/>
          </w:divBdr>
          <w:divsChild>
            <w:div w:id="559560289">
              <w:marLeft w:val="0"/>
              <w:marRight w:val="1"/>
              <w:marTop w:val="0"/>
              <w:marBottom w:val="0"/>
              <w:divBdr>
                <w:top w:val="none" w:sz="0" w:space="0" w:color="auto"/>
                <w:left w:val="none" w:sz="0" w:space="0" w:color="auto"/>
                <w:bottom w:val="none" w:sz="0" w:space="0" w:color="auto"/>
                <w:right w:val="none" w:sz="0" w:space="0" w:color="auto"/>
              </w:divBdr>
              <w:divsChild>
                <w:div w:id="5595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2302</Words>
  <Characters>12663</Characters>
  <Application>Microsoft Office Word</Application>
  <DocSecurity>0</DocSecurity>
  <Lines>105</Lines>
  <Paragraphs>29</Paragraphs>
  <ScaleCrop>false</ScaleCrop>
  <Company>MSC</Company>
  <LinksUpToDate>false</LinksUpToDate>
  <CharactersWithSpaces>14936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«Epístola de Bernabé»</dc:title>
  <dc:creator>GERARDO MÜLLER</dc:creator>
  <cp:lastModifiedBy>GERARDO</cp:lastModifiedBy>
  <cp:revision>2</cp:revision>
  <dcterms:created xsi:type="dcterms:W3CDTF">2013-08-05T02:50:00Z</dcterms:created>
  <dcterms:modified xsi:type="dcterms:W3CDTF">2013-08-05T02:50:00Z</dcterms:modified>
</cp:coreProperties>
</file>