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1B" w:rsidRDefault="00B55A1B" w:rsidP="00B55A1B">
      <w:pPr>
        <w:spacing w:line="360" w:lineRule="auto"/>
        <w:jc w:val="center"/>
      </w:pPr>
    </w:p>
    <w:p w:rsidR="00496E93" w:rsidRPr="00E540C3" w:rsidRDefault="00E540C3" w:rsidP="00B55A1B">
      <w:pPr>
        <w:pBdr>
          <w:bottom w:val="single" w:sz="6" w:space="1" w:color="auto"/>
        </w:pBdr>
        <w:spacing w:line="360" w:lineRule="auto"/>
        <w:jc w:val="center"/>
        <w:rPr>
          <w:b/>
          <w:sz w:val="36"/>
          <w:szCs w:val="36"/>
        </w:rPr>
      </w:pPr>
      <w:r w:rsidRPr="00E540C3">
        <w:rPr>
          <w:b/>
          <w:sz w:val="36"/>
          <w:szCs w:val="36"/>
        </w:rPr>
        <w:t>TEOLOGÍA MÍ</w:t>
      </w:r>
      <w:r w:rsidR="00496E93" w:rsidRPr="00E540C3">
        <w:rPr>
          <w:b/>
          <w:sz w:val="36"/>
          <w:szCs w:val="36"/>
        </w:rPr>
        <w:t>STICA</w:t>
      </w:r>
    </w:p>
    <w:p w:rsidR="00496E93" w:rsidRPr="00E540C3" w:rsidRDefault="00496E93" w:rsidP="00B55A1B">
      <w:pPr>
        <w:spacing w:line="360" w:lineRule="auto"/>
        <w:jc w:val="center"/>
        <w:rPr>
          <w:rFonts w:ascii="Monotype Corsiva" w:hAnsi="Monotype Corsiva"/>
          <w:sz w:val="28"/>
          <w:szCs w:val="28"/>
        </w:rPr>
      </w:pPr>
      <w:r w:rsidRPr="00E540C3">
        <w:rPr>
          <w:rFonts w:ascii="Monotype Corsiva" w:hAnsi="Monotype Corsiva"/>
          <w:sz w:val="28"/>
          <w:szCs w:val="28"/>
        </w:rPr>
        <w:t>Dionisio Areo</w:t>
      </w:r>
      <w:r w:rsidR="00D55C4A" w:rsidRPr="00E540C3">
        <w:rPr>
          <w:rFonts w:ascii="Monotype Corsiva" w:hAnsi="Monotype Corsiva"/>
          <w:sz w:val="28"/>
          <w:szCs w:val="28"/>
        </w:rPr>
        <w:t>p</w:t>
      </w:r>
      <w:r w:rsidR="00532B30" w:rsidRPr="00E540C3">
        <w:rPr>
          <w:rFonts w:ascii="Monotype Corsiva" w:hAnsi="Monotype Corsiva"/>
          <w:sz w:val="28"/>
          <w:szCs w:val="28"/>
        </w:rPr>
        <w:t>a</w:t>
      </w:r>
      <w:r w:rsidR="00D55C4A" w:rsidRPr="00E540C3">
        <w:rPr>
          <w:rFonts w:ascii="Monotype Corsiva" w:hAnsi="Monotype Corsiva"/>
          <w:sz w:val="28"/>
          <w:szCs w:val="28"/>
        </w:rPr>
        <w:t>g</w:t>
      </w:r>
      <w:r w:rsidRPr="00E540C3">
        <w:rPr>
          <w:rFonts w:ascii="Monotype Corsiva" w:hAnsi="Monotype Corsiva"/>
          <w:sz w:val="28"/>
          <w:szCs w:val="28"/>
        </w:rPr>
        <w:t>ita</w:t>
      </w:r>
    </w:p>
    <w:p w:rsidR="00B55A1B" w:rsidRPr="00B55A1B" w:rsidRDefault="00B55A1B" w:rsidP="00B55A1B">
      <w:pPr>
        <w:spacing w:line="360" w:lineRule="auto"/>
        <w:jc w:val="center"/>
      </w:pPr>
    </w:p>
    <w:p w:rsidR="00DF2126" w:rsidRDefault="00DF2126" w:rsidP="00DF2126">
      <w:pPr>
        <w:pStyle w:val="Ttulo2"/>
        <w:spacing w:line="360" w:lineRule="auto"/>
        <w:jc w:val="center"/>
        <w:rPr>
          <w:rFonts w:ascii="Bookman Old Style" w:hAnsi="Bookman Old Style"/>
          <w:b w:val="0"/>
          <w:sz w:val="24"/>
          <w:szCs w:val="24"/>
        </w:rPr>
      </w:pPr>
    </w:p>
    <w:p w:rsidR="00DF2126" w:rsidRDefault="00DF2126" w:rsidP="00DF2126">
      <w:pPr>
        <w:jc w:val="center"/>
        <w:rPr>
          <w:i/>
          <w:sz w:val="32"/>
          <w:szCs w:val="32"/>
          <w:lang w:val="es-ES"/>
        </w:rPr>
      </w:pPr>
      <w:r w:rsidRPr="00DF2126">
        <w:rPr>
          <w:i/>
          <w:sz w:val="32"/>
          <w:szCs w:val="32"/>
          <w:lang w:val="es-ES"/>
        </w:rPr>
        <w:t>Digitalizado por</w:t>
      </w:r>
    </w:p>
    <w:p w:rsidR="00E540C3" w:rsidRPr="00DF2126" w:rsidRDefault="00E540C3" w:rsidP="00DF2126">
      <w:pPr>
        <w:jc w:val="center"/>
        <w:rPr>
          <w:i/>
          <w:sz w:val="32"/>
          <w:szCs w:val="32"/>
          <w:lang w:val="es-ES"/>
        </w:rPr>
      </w:pPr>
    </w:p>
    <w:p w:rsidR="00E540C3" w:rsidRPr="00E540C3" w:rsidRDefault="00E540C3" w:rsidP="00DF2126">
      <w:pPr>
        <w:pStyle w:val="Ttulo2"/>
        <w:spacing w:line="360" w:lineRule="auto"/>
        <w:jc w:val="center"/>
        <w:rPr>
          <w:shadow/>
          <w:color w:val="auto"/>
          <w:sz w:val="28"/>
          <w:szCs w:val="28"/>
          <w:lang w:val="es-ES"/>
        </w:rPr>
      </w:pPr>
      <w:r w:rsidRPr="00E540C3">
        <w:rPr>
          <w:shadow/>
          <w:color w:val="auto"/>
          <w:sz w:val="28"/>
          <w:szCs w:val="28"/>
          <w:lang w:val="es-ES"/>
        </w:rPr>
        <w:t>http://www.librodot.com</w:t>
      </w:r>
    </w:p>
    <w:p w:rsidR="00E540C3" w:rsidRDefault="00E540C3" w:rsidP="00DF2126">
      <w:pPr>
        <w:pStyle w:val="Ttulo2"/>
        <w:spacing w:line="360" w:lineRule="auto"/>
        <w:jc w:val="center"/>
        <w:rPr>
          <w:shadow/>
          <w:sz w:val="28"/>
          <w:szCs w:val="28"/>
          <w:lang w:val="es-ES"/>
        </w:rPr>
      </w:pPr>
    </w:p>
    <w:p w:rsidR="008F28D2" w:rsidRPr="00DF2126" w:rsidRDefault="008F28D2" w:rsidP="00DF2126">
      <w:pPr>
        <w:pStyle w:val="Ttulo2"/>
        <w:spacing w:line="360" w:lineRule="auto"/>
        <w:jc w:val="center"/>
        <w:rPr>
          <w:color w:val="000000"/>
        </w:rPr>
      </w:pPr>
      <w:r w:rsidRPr="00DF2126">
        <w:rPr>
          <w:color w:val="000000"/>
        </w:rPr>
        <w:t>CAPÍTULO I.</w:t>
      </w:r>
    </w:p>
    <w:p w:rsidR="008F28D2" w:rsidRPr="00DF2126" w:rsidRDefault="008F28D2" w:rsidP="00DF2126">
      <w:pPr>
        <w:pStyle w:val="Ttulo1"/>
        <w:spacing w:line="360" w:lineRule="auto"/>
        <w:jc w:val="center"/>
        <w:rPr>
          <w:rFonts w:ascii="Bookman Old Style" w:hAnsi="Bookman Old Style"/>
          <w:b w:val="0"/>
          <w:color w:val="000000"/>
          <w:sz w:val="24"/>
          <w:szCs w:val="24"/>
        </w:rPr>
      </w:pPr>
      <w:r w:rsidRPr="00DF2126">
        <w:rPr>
          <w:rFonts w:ascii="Bookman Old Style" w:hAnsi="Bookman Old Style"/>
          <w:b w:val="0"/>
          <w:color w:val="000000"/>
          <w:sz w:val="24"/>
          <w:szCs w:val="24"/>
        </w:rPr>
        <w:t>EN QUÉ CONSISTE LA DIVINA TINIEBLA</w:t>
      </w: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 xml:space="preserve">1. Trinidad supraesencial y más que divina y más que buena, maestra de la divina sabiduría cristiana, guíanos más allá del no saber y de la luz, hasta la cima más alta de las Escrituras místicas. Allí donde los misterios simples, </w:t>
      </w:r>
      <w:proofErr w:type="gramStart"/>
      <w:r w:rsidRPr="00B55A1B">
        <w:rPr>
          <w:rFonts w:ascii="Bookman Old Style" w:hAnsi="Bookman Old Style"/>
          <w:szCs w:val="24"/>
          <w:lang w:val="es-AR"/>
        </w:rPr>
        <w:t>absolutos</w:t>
      </w:r>
      <w:proofErr w:type="gramEnd"/>
      <w:r w:rsidRPr="00B55A1B">
        <w:rPr>
          <w:rFonts w:ascii="Bookman Old Style" w:hAnsi="Bookman Old Style"/>
          <w:szCs w:val="24"/>
          <w:lang w:val="es-AR"/>
        </w:rPr>
        <w:t xml:space="preserve"> e inmutables de la teología se revelan en las tinieblas más que luminosas del silencio. En medio de las más negras tinieblas fulgurantes de luz desbordan, absolutamente intangibles e </w:t>
      </w:r>
      <w:r w:rsidRPr="00B55A1B">
        <w:rPr>
          <w:rFonts w:ascii="Bookman Old Style" w:hAnsi="Bookman Old Style"/>
          <w:szCs w:val="24"/>
          <w:lang w:val="es-AR"/>
        </w:rPr>
        <w:lastRenderedPageBreak/>
        <w:t>invisibles, los misterios de hermosísimos fulgores que inundan nuestras inteligencias, que saben cerrar los ojos.</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Ésta es mi oración. Timoteo, amigo mío, entregado por completo a la contemplación mística, renuncia a los sentidos, a las operaciones intelectuales, a todo lo sensible y a lo inteligible. Despójate de todas las cosas que son y aun de las que no son y elévate así, cuanto puedas, hasta unirte en el no saber con aquel que está más allá de todo ser y de todo saber. Porque por el libre, absoluto y puro apartamiento de ti mismo y de todas las cosas, arrojándolo todo y del todo, serás elevado en puro éxtasis hasta el Rayo de tinieblas de la divina Supraesencia.</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2. Pero ten cuidado de que nada de esto llegue a oídos de no iniciados, aquellos que se apegan a los seres, que se imaginan que no hay nada más allá de lo que existe en la naturaleza física, individual. Piensan, además, que con su mística razón pueden conocer a aquel que "puso su tienda en las tinieblas". Y si esos no alcanzan a comprender la iniciación a los divinos misterios, ¿qué decir de quienes son verdaderos profanos, de aquellos que describen la Causa suprema de todas las cosas por medio de los seres más bajos de la naturaleza y proclaman que nada es superior a los múltiples ídolos impíos que ellos mismos se fabrican?</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En realidad, debemos afirmar que siendo Causa de todos los seres habrá de atribuírsele todo cuanto se diga de los seres, porque es supraesencial a todos. Esto no quiere decir que la negación contradiga a las afirmaciones, sino que por sí misma aquella Causa trasciende y es supraesencial a todas las cosas, anterior y superior a las privaciones, pues está más allá de cualquier afirmación o negación.</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3. En ese sentido, pues, dice el divino Bartolomé que la teología es al mismo tiempo abundante y mínima, y que si el Evangelio es amplio y copioso, es también conciso. A mi parecer, ha comprendido perfectamente que la misericordiosa Causa de todas las cosas es elocuente y silenciosa, en realidad callada. No es racional ni inteligible, pues es supraesencial a todo ser. Verdaderamente se manifiesta sin velos sólo a aquellos que dejan a un lado los ritualismos de las cosas impuras y de las que son puras, a quienes sobrepasan las cimas de las más santas montañas. A los desprendidos de luces divinas, voces y palabras celestiales, y que se abisman en las Tinieblas donde, como dice la Escritura, tiene realmente su morada aquel que está más allá de todo ser.</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No en vano el divino Moisés recibió órdenes de purifícarse primero y luego apartarse de los no purificados. Acabada la purificación, oyó las trompetas de múltiples sonidos y vio muchas luces de rayos fulgurantes. Ya separado de la muchedumbre y acompañado de los sacerdotes escogidos, llega a la cumbre de las ascensiones divinas. Pero todavía no encuentra al mismo Dios. Contempla no al Invisible, sino el lugar donde Él mora. Esto significa, creo yo, que las cosas más santas y sublimes percibidas por nuestros ojos e inteligencia no son las razones hipostáticas de los atributos que verdaderamente convienen a la presencia de aquel que todo lo trasciende. A través de ellas, sin embargo, se hace manifiesta su inimaginable presencia, al andar sobre las alturas de aquellas cúspides inteligibles de sus más santos lugares. Entonces, es cuando libre el espíritu, y despojado de todo cuanto ve y es visto, penetra (Moisés) en las misteriosas Tinieblas del no-saber. Allí, renunciado a todo lo que pueda la mente concebir, abismado totalmente en lo que no percibe ni comprende, se abandona por completo en aquel que está más allá de todo ser. Allí, sin pertenecerse a sí mismo ni a nadie, renunciando a todo conocimiento, queda unido por lo más noble de su ser con Aquel que escapa a todo conocimiento. Por lo mismo que nada conoce, entiende sobre toda inteligencia.</w:t>
      </w:r>
    </w:p>
    <w:p w:rsidR="008F28D2" w:rsidRPr="00DF2126" w:rsidRDefault="008F28D2" w:rsidP="00DF2126">
      <w:pPr>
        <w:spacing w:before="100" w:after="100" w:line="360" w:lineRule="auto"/>
        <w:ind w:left="360" w:right="360"/>
        <w:jc w:val="center"/>
        <w:rPr>
          <w:rFonts w:ascii="Bookman Old Style" w:hAnsi="Bookman Old Style"/>
          <w:b/>
          <w:color w:val="000000"/>
          <w:szCs w:val="24"/>
          <w:lang w:val="es-AR"/>
        </w:rPr>
      </w:pPr>
      <w:r w:rsidRPr="00B55A1B">
        <w:rPr>
          <w:rFonts w:ascii="Bookman Old Style" w:hAnsi="Bookman Old Style"/>
          <w:szCs w:val="24"/>
          <w:lang w:val="es-AR"/>
        </w:rPr>
        <w:br w:type="page"/>
      </w:r>
      <w:r w:rsidRPr="00DF2126">
        <w:rPr>
          <w:rFonts w:ascii="Bookman Old Style" w:hAnsi="Bookman Old Style"/>
          <w:b/>
          <w:color w:val="000000"/>
          <w:szCs w:val="24"/>
          <w:lang w:val="es-AR"/>
        </w:rPr>
        <w:t>CAPÍTULO II.</w:t>
      </w:r>
    </w:p>
    <w:p w:rsidR="008F28D2" w:rsidRPr="00DF2126" w:rsidRDefault="008F28D2" w:rsidP="00DF2126">
      <w:pPr>
        <w:spacing w:before="100" w:after="100" w:line="360" w:lineRule="auto"/>
        <w:ind w:left="360" w:right="360"/>
        <w:jc w:val="center"/>
        <w:rPr>
          <w:rFonts w:ascii="Bookman Old Style" w:hAnsi="Bookman Old Style"/>
          <w:b/>
          <w:color w:val="000000"/>
          <w:szCs w:val="24"/>
          <w:lang w:val="es-AR"/>
        </w:rPr>
      </w:pPr>
      <w:r w:rsidRPr="00DF2126">
        <w:rPr>
          <w:rFonts w:ascii="Bookman Old Style" w:hAnsi="Bookman Old Style"/>
          <w:b/>
          <w:color w:val="000000"/>
          <w:szCs w:val="24"/>
          <w:lang w:val="es-AR"/>
        </w:rPr>
        <w:t>CÓMO DEBEMOS UNIRNOS Y ALABAR AL AUTOR DE TODAS LAS COSAS, QUE TODO LO TRASCIENDE</w:t>
      </w: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¡Ojalá podamos también nosotros penetrar en esta más que luminosa oscuridad! ¡Renunciemos a toda visión y conocimiento para ver y conocer lo invisible e incognoscible: a Aquel que está más allá de toda visión y conocimiento!</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Porque ésta es la visión y conocimiento verdaderos: y por el hecho mismo de abandonar todo cuanto existe se celebra lo sobreesencial en modo sobreesencial. Así como los escultores esculpen las estatuas, quitando todo aquello que a modo de envoltura impide ver claramente la forma encubierta. Basta este simple despojo para que se manifieste la oculta y genuina belleza.</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Conviene, pues, a mi entender, alabar la negación de modo muy diferente a la afirmación. Afirmar es ir poniendo cosas a partir de los principios, bajando por los medios y llegar hasta los últimos extremos. Por la negación, en cambio, es ir quitándolas desde los últimos extremos y subir a los principios. Quitamos todo aquello que impide conocer desnudamente al Incognoscible, conocido solamente a través de las cosas que lo envuelven.</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 xml:space="preserve">Miremos, por tanto, </w:t>
      </w:r>
      <w:proofErr w:type="gramStart"/>
      <w:r w:rsidRPr="00B55A1B">
        <w:rPr>
          <w:rFonts w:ascii="Bookman Old Style" w:hAnsi="Bookman Old Style"/>
          <w:szCs w:val="24"/>
          <w:lang w:val="es-AR"/>
        </w:rPr>
        <w:t>aquella</w:t>
      </w:r>
      <w:proofErr w:type="gramEnd"/>
      <w:r w:rsidRPr="00B55A1B">
        <w:rPr>
          <w:rFonts w:ascii="Bookman Old Style" w:hAnsi="Bookman Old Style"/>
          <w:szCs w:val="24"/>
          <w:lang w:val="es-AR"/>
        </w:rPr>
        <w:t xml:space="preserve"> tiniebla supraesencial que no dejan ver las luces de las cosas. </w:t>
      </w:r>
    </w:p>
    <w:p w:rsidR="008F28D2" w:rsidRPr="00DF2126" w:rsidRDefault="008F28D2" w:rsidP="00DF2126">
      <w:pPr>
        <w:spacing w:before="100" w:after="100" w:line="360" w:lineRule="auto"/>
        <w:ind w:left="360" w:right="360"/>
        <w:jc w:val="center"/>
        <w:rPr>
          <w:rFonts w:ascii="Bookman Old Style" w:hAnsi="Bookman Old Style"/>
          <w:b/>
          <w:szCs w:val="24"/>
          <w:lang w:val="es-AR"/>
        </w:rPr>
      </w:pPr>
      <w:r w:rsidRPr="00B55A1B">
        <w:rPr>
          <w:rFonts w:ascii="Bookman Old Style" w:hAnsi="Bookman Old Style"/>
          <w:szCs w:val="24"/>
          <w:lang w:val="es-AR"/>
        </w:rPr>
        <w:br w:type="page"/>
      </w:r>
      <w:r w:rsidRPr="00DF2126">
        <w:rPr>
          <w:rFonts w:ascii="Bookman Old Style" w:hAnsi="Bookman Old Style"/>
          <w:b/>
          <w:szCs w:val="24"/>
          <w:lang w:val="es-AR"/>
        </w:rPr>
        <w:t>CAPÍTULO III.</w:t>
      </w:r>
    </w:p>
    <w:p w:rsidR="008F28D2" w:rsidRPr="00DF2126" w:rsidRDefault="008F28D2" w:rsidP="00DF2126">
      <w:pPr>
        <w:spacing w:before="100" w:after="100" w:line="360" w:lineRule="auto"/>
        <w:ind w:left="360" w:right="360"/>
        <w:jc w:val="center"/>
        <w:rPr>
          <w:rFonts w:ascii="Bookman Old Style" w:hAnsi="Bookman Old Style"/>
          <w:b/>
          <w:szCs w:val="24"/>
          <w:lang w:val="es-AR"/>
        </w:rPr>
      </w:pPr>
      <w:r w:rsidRPr="00DF2126">
        <w:rPr>
          <w:rFonts w:ascii="Bookman Old Style" w:hAnsi="Bookman Old Style"/>
          <w:b/>
          <w:szCs w:val="24"/>
          <w:lang w:val="es-AR"/>
        </w:rPr>
        <w:t>QUÉ SE ENTIENDE POR TEOLOGÍA AFIRMATIVA Y TEOLOGÍA NEGATIVA</w:t>
      </w: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En mis "Representaciones teológicas" dejé ya claro cuáles sean las nociones más propias de la teología afirmativa (catafática); en qué sentido el Bien de naturaleza divina es Uno y Trino; cómo se entiende Paternidad y Filiación; qué significa la denominación divina del Espíritu; cómo estas cordiales luces de bondad han brotado del Bien inmaterial e indivisible y cómo al difundirse han permanecido en él todas unas en otras desde su coeterno fundamento. He hablado de Jesús, que siendo supraesencial se revistió sustancialmente de verdadera naturaleza humana. En las "Representaciones teológicas" alabé también otros misterios conforme a las Santas Escrituras.</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En el "Tratado sobre los Nombres de Dios" he explicado en qué sentido decimos que Dios es el Bien, Ser, Vida, Sabiduría, Poder y todo cuanto pueda convenir a la naturaleza espiritual de Dios. En la "Teología simbólica" he tratado de las analogías que puedan tener con Dios los seres que nosotros observamos. He hablado de las cosas sensibles con relación a Él, de formas y figuras, de ministros, lugares sagrados y ornamentos; de lo que significan el enojo, las penas y los resentimientos; del sentido que en Él tienen las palabras de embriaguez y entusiasmo, juramentos, maldiciones, sueños y vigilias. Y de otras imágenes con las que simbólicamente nos representamos a Dios. Supongo habrás notado cómo los últimos libros son más extensos que los primeros, pues no era conveniente que las "Representaciones teológicas" y el "Tratado sobre los Nombres de Dios" fuesen tan amplios como la "Teología simbólica". El hecho es que cuanto más alto volamos menos palabras necesitamos, porque lo inteligible se presenta cada vez más simplificado. Por tanto, ahora, a medida que nos adentramos en aquella Tiniebla que hay más allá de la inteligencia, llegamos a quedarnos no sólo cortos en palabras, sino más aún, en perfecto silencio y sin pensar en nada.</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En aquellos escritos, el discurso procedía desde lo más alto a lo más bajo. Por aquel sendero descendente aumentaba el caudal de las ideas, que se multiplicaban a cada paso. Mas ahora que escalamos desde el suelo más bajo hasta la cumbre, cuanto más subimos más escasas se hacen las palabras. Al coronar la cima reina un completo silencio. Estamos unidos por completo al Inefable.</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Te extrañas, quizá, de que partiendo de lo más alto por vía de afirmación comencemos ahora desde lo más bajo por vía de negación. La razón es ésta: cuando afirmamos algo de aquel a quien ninguna afirmación alcanza, necesitamos que se basen nuestros asertos en lo que esté próximo de Él. Mas ahora al hablar por vía de negación de aquel que trasciende toda negación se comienza por negarle las cualidades que le sean más lejanas. ¿No es cierto que es más conforme a la realidad afirmar que Dios es vida y bien que no aire o piedra? ¿No es verdad que Dios está más distante de ser embriaguez y enojo que de ser nombrado y entendido? Y en tal sentido es distinto decir que Dios no es "embriaguez ni enojo" a decir que Dios no es "palabra o pensamiento" nuestros. Pero fundamentalmente coinciden en el "no" con respecto a Dios. Por lo cual, éste es el camino más directo y sencillo y seguro para llegar a Dios o a la cima, camino de proficientes o perfectos, la Teología mística.</w:t>
      </w:r>
    </w:p>
    <w:p w:rsidR="008F28D2" w:rsidRPr="00DF2126" w:rsidRDefault="008F28D2" w:rsidP="00DF2126">
      <w:pPr>
        <w:spacing w:before="100" w:after="100" w:line="360" w:lineRule="auto"/>
        <w:ind w:left="360" w:right="360"/>
        <w:jc w:val="center"/>
        <w:rPr>
          <w:rFonts w:ascii="Bookman Old Style" w:hAnsi="Bookman Old Style"/>
          <w:b/>
          <w:szCs w:val="24"/>
          <w:lang w:val="es-AR"/>
        </w:rPr>
      </w:pPr>
      <w:r w:rsidRPr="00B55A1B">
        <w:rPr>
          <w:rFonts w:ascii="Bookman Old Style" w:hAnsi="Bookman Old Style"/>
          <w:szCs w:val="24"/>
          <w:lang w:val="es-AR"/>
        </w:rPr>
        <w:br w:type="page"/>
      </w:r>
      <w:r w:rsidRPr="00DF2126">
        <w:rPr>
          <w:rFonts w:ascii="Bookman Old Style" w:hAnsi="Bookman Old Style"/>
          <w:b/>
          <w:szCs w:val="24"/>
          <w:lang w:val="es-AR"/>
        </w:rPr>
        <w:t>CAPÍTULO IV.</w:t>
      </w:r>
    </w:p>
    <w:p w:rsidR="008F28D2" w:rsidRPr="00B55A1B" w:rsidRDefault="008F28D2" w:rsidP="00DF2126">
      <w:pPr>
        <w:spacing w:before="100" w:after="100" w:line="360" w:lineRule="auto"/>
        <w:ind w:left="360" w:right="360"/>
        <w:jc w:val="center"/>
        <w:rPr>
          <w:rFonts w:ascii="Bookman Old Style" w:hAnsi="Bookman Old Style"/>
          <w:szCs w:val="24"/>
          <w:lang w:val="es-AR"/>
        </w:rPr>
      </w:pPr>
      <w:r w:rsidRPr="00DF2126">
        <w:rPr>
          <w:rFonts w:ascii="Bookman Old Style" w:hAnsi="Bookman Old Style"/>
          <w:b/>
          <w:szCs w:val="24"/>
          <w:lang w:val="es-AR"/>
        </w:rPr>
        <w:t>QUE NO ES NADA SENSIBLE LA CAUSA</w:t>
      </w:r>
      <w:r w:rsidRPr="00B55A1B">
        <w:rPr>
          <w:rFonts w:ascii="Bookman Old Style" w:hAnsi="Bookman Old Style"/>
          <w:szCs w:val="24"/>
          <w:lang w:val="es-AR"/>
        </w:rPr>
        <w:t xml:space="preserve"> </w:t>
      </w:r>
      <w:r w:rsidRPr="00DF2126">
        <w:rPr>
          <w:rFonts w:ascii="Bookman Old Style" w:hAnsi="Bookman Old Style"/>
          <w:b/>
          <w:szCs w:val="24"/>
          <w:lang w:val="es-AR"/>
        </w:rPr>
        <w:t>TRASCENDENTE A LA REALIDAD SENSIBLE</w:t>
      </w: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Decimos, pues, que la Causa universal está por encima de todo lo creado. No carece de esencia, ni de vida, ni de razón, ni de inteligencia. No tiene cuerpo, ni figura, ni cualidad, ni cantidad, ni peso. No está en ningún lugar. Ni la vista ni el tacto la perciben. Ni siente ni la alcanzan los sentidos. No sufre desorden ni perturbación procedente de pasiones terrenas. Que los acontecimientos sensibles no la esclavizan ni la reducen a la impotencia. No necesita luz. No experimenta mutación, ni corrupción, ni decaimiento. No se le añade ser, ni haber, ni cosa alguna que caiga bajo el dominio de los sentidos.</w:t>
      </w:r>
    </w:p>
    <w:p w:rsidR="008F28D2" w:rsidRPr="00DF2126" w:rsidRDefault="008F28D2" w:rsidP="00DF2126">
      <w:pPr>
        <w:spacing w:before="100" w:after="100" w:line="360" w:lineRule="auto"/>
        <w:ind w:left="360" w:right="360"/>
        <w:jc w:val="center"/>
        <w:rPr>
          <w:rFonts w:ascii="Bookman Old Style" w:hAnsi="Bookman Old Style"/>
          <w:b/>
          <w:szCs w:val="24"/>
          <w:lang w:val="es-AR"/>
        </w:rPr>
      </w:pPr>
      <w:r w:rsidRPr="00B55A1B">
        <w:rPr>
          <w:rFonts w:ascii="Bookman Old Style" w:hAnsi="Bookman Old Style"/>
          <w:szCs w:val="24"/>
          <w:lang w:val="es-AR"/>
        </w:rPr>
        <w:br w:type="page"/>
      </w:r>
      <w:r w:rsidRPr="00DF2126">
        <w:rPr>
          <w:rFonts w:ascii="Bookman Old Style" w:hAnsi="Bookman Old Style"/>
          <w:b/>
          <w:szCs w:val="24"/>
          <w:lang w:val="es-AR"/>
        </w:rPr>
        <w:t>CAPÍTULO V.</w:t>
      </w:r>
    </w:p>
    <w:p w:rsidR="008F28D2" w:rsidRPr="00DF2126" w:rsidRDefault="008F28D2" w:rsidP="00DF2126">
      <w:pPr>
        <w:spacing w:before="100" w:after="100" w:line="360" w:lineRule="auto"/>
        <w:ind w:left="360" w:right="360"/>
        <w:jc w:val="center"/>
        <w:rPr>
          <w:rFonts w:ascii="Bookman Old Style" w:hAnsi="Bookman Old Style"/>
          <w:b/>
          <w:szCs w:val="24"/>
          <w:lang w:val="es-AR"/>
        </w:rPr>
      </w:pPr>
      <w:r w:rsidRPr="00DF2126">
        <w:rPr>
          <w:rFonts w:ascii="Bookman Old Style" w:hAnsi="Bookman Old Style"/>
          <w:b/>
          <w:szCs w:val="24"/>
          <w:lang w:val="es-AR"/>
        </w:rPr>
        <w:t>QUE LA CAUSA SUPREMA DE TODO LO INTELIGIBLE NO ES ALGO INTELIGIBLE</w:t>
      </w: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En escala ascendente ahora añadimos que esta Causa no es alma ni inteligencia; no tiene imaginación, ni expresión, ni razón ni inteligencia. No es palabra por sí misma ni tampoco entendimiento. No podemos hablar de ella ni entenderla. No es número ni orden, ni magnitud ni pequeñez, ni igualdad ni semejanza, ni desemejanza. No es móvil ni inmóvil, ni descansa. No tiene potencia ni es poder. No es luz ni vive ni es vida. No es sustancia ni eternidad ni tiempo. No puede la inteligencia comprenderla, pues no es conocimiento ni verdad. No es reino, ni sabiduría, ni uno, ni unidad. No es divinidad, ni bondad, ni espíritu en el sentido que nosotros lo entendemos. No es filiación ni paternidad ni nada que nadie ni nosotros conozcamos. No es ninguna de las cosas que son ni de las que no son. Nadie la conoce tal cual es ni la Causa conoce a nadie en cuanto ser. No tiene razón, ni nombre, ni conocimiento. No es tinieblas ni luz, ni error ni verdad. Absolutamente nada se puede afirmar ni negar de ella.</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Cuando negamos o afirmamos algo de cosas inferiores a la Causa suprema, nada le añadimos ni quitamos. Porque toda afirmación permanece más acá de la causa única y perfecta de todas las cosas, pues toda negación permanece más acá de la trascendencia de aquel que está simplemente despojado de todo y se sitúa más allá de todo.</w:t>
      </w:r>
    </w:p>
    <w:p w:rsidR="008F28D2" w:rsidRPr="00B55A1B" w:rsidRDefault="008F28D2" w:rsidP="00B55A1B">
      <w:pPr>
        <w:spacing w:before="100" w:after="100" w:line="360" w:lineRule="auto"/>
        <w:ind w:left="360" w:right="360"/>
        <w:jc w:val="both"/>
        <w:rPr>
          <w:rFonts w:ascii="Bookman Old Style" w:hAnsi="Bookman Old Style"/>
          <w:szCs w:val="24"/>
          <w:lang w:val="es-AR"/>
        </w:rPr>
      </w:pPr>
      <w:r w:rsidRPr="00B55A1B">
        <w:rPr>
          <w:rFonts w:ascii="Bookman Old Style" w:hAnsi="Bookman Old Style"/>
          <w:szCs w:val="24"/>
          <w:lang w:val="es-AR"/>
        </w:rPr>
        <w:t xml:space="preserve">Existen diversas versiones de este tratado, entre ellas la de Dionisio Areopagita, </w:t>
      </w:r>
      <w:r w:rsidRPr="00B55A1B">
        <w:rPr>
          <w:rFonts w:ascii="Bookman Old Style" w:hAnsi="Bookman Old Style"/>
          <w:i/>
          <w:szCs w:val="24"/>
          <w:lang w:val="es-AR"/>
        </w:rPr>
        <w:t>Obras completas</w:t>
      </w:r>
      <w:r w:rsidRPr="00B55A1B">
        <w:rPr>
          <w:rFonts w:ascii="Bookman Old Style" w:hAnsi="Bookman Old Style"/>
          <w:szCs w:val="24"/>
          <w:lang w:val="es-AR"/>
        </w:rPr>
        <w:t xml:space="preserve">, </w:t>
      </w:r>
    </w:p>
    <w:p w:rsidR="00B55A1B" w:rsidRDefault="00B55A1B" w:rsidP="00B55A1B">
      <w:pPr>
        <w:pStyle w:val="Ttulo2"/>
        <w:spacing w:line="360" w:lineRule="auto"/>
        <w:jc w:val="both"/>
        <w:rPr>
          <w:rFonts w:ascii="Bookman Old Style" w:hAnsi="Bookman Old Style"/>
          <w:b w:val="0"/>
          <w:color w:val="auto"/>
          <w:sz w:val="24"/>
          <w:szCs w:val="24"/>
          <w:u w:val="single"/>
        </w:rPr>
      </w:pPr>
      <w:r>
        <w:rPr>
          <w:rFonts w:ascii="Bookman Old Style" w:hAnsi="Bookman Old Style"/>
          <w:b w:val="0"/>
          <w:color w:val="auto"/>
          <w:sz w:val="24"/>
          <w:szCs w:val="24"/>
          <w:u w:val="single"/>
        </w:rPr>
        <w:t>Datos Biográficos:</w:t>
      </w:r>
    </w:p>
    <w:p w:rsidR="00B55A1B" w:rsidRPr="00B55A1B" w:rsidRDefault="00B55A1B" w:rsidP="00B55A1B">
      <w:pPr>
        <w:pStyle w:val="Ttulo2"/>
        <w:spacing w:line="360" w:lineRule="auto"/>
        <w:jc w:val="both"/>
        <w:rPr>
          <w:rFonts w:ascii="Bookman Old Style" w:hAnsi="Bookman Old Style"/>
          <w:b w:val="0"/>
          <w:color w:val="auto"/>
          <w:sz w:val="24"/>
          <w:szCs w:val="24"/>
        </w:rPr>
      </w:pPr>
      <w:r w:rsidRPr="00B55A1B">
        <w:rPr>
          <w:rFonts w:ascii="Bookman Old Style" w:hAnsi="Bookman Old Style"/>
          <w:b w:val="0"/>
          <w:color w:val="auto"/>
          <w:sz w:val="24"/>
          <w:szCs w:val="24"/>
          <w:u w:val="single"/>
        </w:rPr>
        <w:t>Dionisio el Areopagita</w:t>
      </w:r>
      <w:r w:rsidRPr="00B55A1B">
        <w:rPr>
          <w:rFonts w:ascii="Bookman Old Style" w:hAnsi="Bookman Old Style"/>
          <w:b w:val="0"/>
          <w:color w:val="auto"/>
          <w:sz w:val="24"/>
          <w:szCs w:val="24"/>
        </w:rPr>
        <w:t xml:space="preserve"> (fl. siglo I d.C.), mártir cristiano. Según se relata en los Hechos de los Apóstoles (17,34) era un miembro del Areópago de Atenas que se convirtió al cristianismo gracias a la predicación de san Pablo. Éste es el único dato concreto sobre su persona. Parece ser que fue el primer obispo de Atenas y que en esta misma ciudad sufrió martirio durante el imperio de Domiciano. Otra tradición le confunde con el apóstol de Francia, san Dionisio (saint Denis).</w:t>
      </w:r>
    </w:p>
    <w:p w:rsidR="00B55A1B" w:rsidRPr="00B55A1B" w:rsidRDefault="00B55A1B" w:rsidP="00B55A1B">
      <w:pPr>
        <w:pStyle w:val="Ttulo2"/>
        <w:spacing w:line="360" w:lineRule="auto"/>
        <w:jc w:val="both"/>
        <w:rPr>
          <w:rFonts w:ascii="Bookman Old Style" w:hAnsi="Bookman Old Style"/>
          <w:b w:val="0"/>
          <w:color w:val="auto"/>
          <w:sz w:val="24"/>
          <w:szCs w:val="24"/>
        </w:rPr>
      </w:pPr>
    </w:p>
    <w:p w:rsidR="00B55A1B" w:rsidRPr="00B55A1B" w:rsidRDefault="00B55A1B" w:rsidP="00B55A1B">
      <w:pPr>
        <w:pStyle w:val="Ttulo2"/>
        <w:spacing w:line="360" w:lineRule="auto"/>
        <w:jc w:val="both"/>
        <w:rPr>
          <w:rFonts w:ascii="Bookman Old Style" w:hAnsi="Bookman Old Style"/>
          <w:b w:val="0"/>
          <w:color w:val="auto"/>
          <w:sz w:val="24"/>
          <w:szCs w:val="24"/>
        </w:rPr>
      </w:pPr>
      <w:r w:rsidRPr="00B55A1B">
        <w:rPr>
          <w:rFonts w:ascii="Bookman Old Style" w:hAnsi="Bookman Old Style"/>
          <w:b w:val="0"/>
          <w:color w:val="auto"/>
          <w:sz w:val="24"/>
          <w:szCs w:val="24"/>
        </w:rPr>
        <w:t>En la edad media le fueron atribuidos un conjunto de textos griegos cuya autoría se otorga en la actualidad a un filósofo neoplatónico del siglo V o VI (conocido como Pseudo-Dionisio). Estos escritos son: De caelesti hierarchia (Sobre la jerarquía celestial) y De ecclesiastica hierarchia (Sobre la jerarquía eclesiástica), que se ocupan de los nueve coros (o jerarquías) de los seres angélicos y de sus réplicas terrenales; De divinis nomibus (Sobre los nombres divinos), tratado acerca de lo que las denominaciones de Dios en la Biblia pueden enseñar respecto a su naturaleza y atributos; y De mystica theologia (Sobre la teología mística), en la que el autor expone una forma de misticismo intuitivo.</w:t>
      </w:r>
    </w:p>
    <w:p w:rsidR="00B55A1B" w:rsidRPr="00B55A1B" w:rsidRDefault="00B55A1B" w:rsidP="00B55A1B">
      <w:pPr>
        <w:pStyle w:val="Ttulo2"/>
        <w:spacing w:line="360" w:lineRule="auto"/>
        <w:jc w:val="both"/>
        <w:rPr>
          <w:rFonts w:ascii="Bookman Old Style" w:hAnsi="Bookman Old Style"/>
          <w:b w:val="0"/>
          <w:color w:val="auto"/>
          <w:sz w:val="24"/>
          <w:szCs w:val="24"/>
        </w:rPr>
      </w:pPr>
    </w:p>
    <w:p w:rsidR="008F28D2" w:rsidRPr="00DF2126" w:rsidRDefault="00B55A1B" w:rsidP="00DF2126">
      <w:pPr>
        <w:pStyle w:val="Ttulo2"/>
        <w:spacing w:line="360" w:lineRule="auto"/>
        <w:jc w:val="both"/>
        <w:rPr>
          <w:rFonts w:ascii="Bookman Old Style" w:hAnsi="Bookman Old Style"/>
          <w:b w:val="0"/>
          <w:color w:val="000000"/>
          <w:sz w:val="24"/>
          <w:szCs w:val="24"/>
        </w:rPr>
      </w:pPr>
      <w:r w:rsidRPr="00DF2126">
        <w:rPr>
          <w:rFonts w:ascii="Bookman Old Style" w:hAnsi="Bookman Old Style"/>
          <w:b w:val="0"/>
          <w:color w:val="000000"/>
          <w:sz w:val="24"/>
          <w:szCs w:val="24"/>
        </w:rPr>
        <w:t xml:space="preserve">Estos textos pseudo-dionisíacos, que podrían haber sido escritos en Siria o Egipto, fueron citados por primera vez en el transcurso del segundo Concilio de Constantinopla (553). Su influencia es evidente en el sistema teológico de san Juan Damasceno, Doctor de </w:t>
      </w:r>
      <w:smartTag w:uri="urn:schemas-microsoft-com:office:smarttags" w:element="PersonName">
        <w:smartTagPr>
          <w:attr w:name="ProductID" w:val="la Iglesia"/>
        </w:smartTagPr>
        <w:r w:rsidRPr="00DF2126">
          <w:rPr>
            <w:rFonts w:ascii="Bookman Old Style" w:hAnsi="Bookman Old Style"/>
            <w:b w:val="0"/>
            <w:color w:val="000000"/>
            <w:sz w:val="24"/>
            <w:szCs w:val="24"/>
          </w:rPr>
          <w:t>la Iglesia</w:t>
        </w:r>
      </w:smartTag>
      <w:r w:rsidRPr="00DF2126">
        <w:rPr>
          <w:rFonts w:ascii="Bookman Old Style" w:hAnsi="Bookman Old Style"/>
          <w:b w:val="0"/>
          <w:color w:val="000000"/>
          <w:sz w:val="24"/>
          <w:szCs w:val="24"/>
        </w:rPr>
        <w:t xml:space="preserve"> de Oriente. En Occidente no se conocieron hasta principios del siglo VII, aunque más tarde ejercieron una considerable influencia sobre el pensamiento de </w:t>
      </w:r>
      <w:smartTag w:uri="urn:schemas-microsoft-com:office:smarttags" w:element="PersonName">
        <w:smartTagPr>
          <w:attr w:name="ProductID" w:val="la Europa"/>
        </w:smartTagPr>
        <w:r w:rsidRPr="00DF2126">
          <w:rPr>
            <w:rFonts w:ascii="Bookman Old Style" w:hAnsi="Bookman Old Style"/>
            <w:b w:val="0"/>
            <w:color w:val="000000"/>
            <w:sz w:val="24"/>
            <w:szCs w:val="24"/>
          </w:rPr>
          <w:t>la Europa</w:t>
        </w:r>
      </w:smartTag>
      <w:r w:rsidRPr="00DF2126">
        <w:rPr>
          <w:rFonts w:ascii="Bookman Old Style" w:hAnsi="Bookman Old Style"/>
          <w:b w:val="0"/>
          <w:color w:val="000000"/>
          <w:sz w:val="24"/>
          <w:szCs w:val="24"/>
        </w:rPr>
        <w:t xml:space="preserve"> cristiana. En el siglo IX fueron traducidos al latín por el teólogo Juan Escoto Eriúgena, y en esta forma más accesible inspiró a los teólogos escolásticos (en especial a santo Tomás de Aquino) y a los humanistas ingleses John Colet y William Crocyn. De estos textos, teólogos y artistas extrajeron su concepción sobre los ángeles y fueron introducidos en el neoplatonismo. La influencia de estos escritos es indiscutible en </w:t>
      </w:r>
      <w:smartTag w:uri="urn:schemas-microsoft-com:office:smarttags" w:element="PersonName">
        <w:smartTagPr>
          <w:attr w:name="ProductID" w:val="la Divina Comedia"/>
        </w:smartTagPr>
        <w:r w:rsidRPr="00DF2126">
          <w:rPr>
            <w:rFonts w:ascii="Bookman Old Style" w:hAnsi="Bookman Old Style"/>
            <w:b w:val="0"/>
            <w:color w:val="000000"/>
            <w:sz w:val="24"/>
            <w:szCs w:val="24"/>
          </w:rPr>
          <w:t>la Divina Comedia</w:t>
        </w:r>
      </w:smartTag>
      <w:r w:rsidRPr="00DF2126">
        <w:rPr>
          <w:rFonts w:ascii="Bookman Old Style" w:hAnsi="Bookman Old Style"/>
          <w:b w:val="0"/>
          <w:color w:val="000000"/>
          <w:sz w:val="24"/>
          <w:szCs w:val="24"/>
        </w:rPr>
        <w:t xml:space="preserve"> de Dante Alighieri y en las obras del poeta inglés John Milton. El humanista holandés Erasmo de Rotterdam figura entre los primeros que cuestionó que Dionisio el Areopagita fuera el autor de dichos textos.</w:t>
      </w:r>
    </w:p>
    <w:sectPr w:rsidR="008F28D2" w:rsidRPr="00DF2126" w:rsidSect="00E67BA8">
      <w:headerReference w:type="even" r:id="rId6"/>
      <w:headerReference w:type="default" r:id="rId7"/>
      <w:footerReference w:type="even" r:id="rId8"/>
      <w:footerReference w:type="default" r:id="rId9"/>
      <w:pgSz w:w="10319" w:h="14572" w:code="13"/>
      <w:pgMar w:top="1440" w:right="1797" w:bottom="1440" w:left="1797"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6B5" w:rsidRDefault="00A826B5">
      <w:r>
        <w:separator/>
      </w:r>
    </w:p>
  </w:endnote>
  <w:endnote w:type="continuationSeparator" w:id="0">
    <w:p w:rsidR="00A826B5" w:rsidRDefault="00A826B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C4" w:rsidRDefault="00FA27C4" w:rsidP="00E67B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A27C4" w:rsidRDefault="00FA27C4" w:rsidP="00E67BA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C4" w:rsidRDefault="00FA27C4" w:rsidP="00E67B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AB1">
      <w:rPr>
        <w:rStyle w:val="Nmerodepgina"/>
        <w:noProof/>
      </w:rPr>
      <w:t>15</w:t>
    </w:r>
    <w:r>
      <w:rPr>
        <w:rStyle w:val="Nmerodepgina"/>
      </w:rPr>
      <w:fldChar w:fldCharType="end"/>
    </w:r>
  </w:p>
  <w:p w:rsidR="00FA27C4" w:rsidRPr="00E67BA8" w:rsidRDefault="00FA27C4" w:rsidP="00FA64F3">
    <w:pPr>
      <w:pStyle w:val="Piedepgina"/>
      <w:rPr>
        <w:i/>
        <w:sz w:val="40"/>
        <w:szCs w:val="40"/>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6B5" w:rsidRDefault="00A826B5">
      <w:r>
        <w:separator/>
      </w:r>
    </w:p>
  </w:footnote>
  <w:footnote w:type="continuationSeparator" w:id="0">
    <w:p w:rsidR="00A826B5" w:rsidRDefault="00A82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C4" w:rsidRDefault="00FA27C4" w:rsidP="00E67BA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A27C4" w:rsidRDefault="00FA27C4" w:rsidP="00E67BA8">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C4" w:rsidRDefault="00FA27C4" w:rsidP="00E67BA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1AB1">
      <w:rPr>
        <w:rStyle w:val="Nmerodepgina"/>
        <w:noProof/>
      </w:rPr>
      <w:t>15</w:t>
    </w:r>
    <w:r>
      <w:rPr>
        <w:rStyle w:val="Nmerodepgina"/>
      </w:rPr>
      <w:fldChar w:fldCharType="end"/>
    </w:r>
  </w:p>
  <w:p w:rsidR="00FA27C4" w:rsidRPr="00DF2126" w:rsidRDefault="00FA27C4" w:rsidP="00FA64F3">
    <w:pPr>
      <w:pStyle w:val="Encabezado"/>
      <w:pBdr>
        <w:bottom w:val="single" w:sz="12" w:space="0" w:color="auto"/>
      </w:pBdr>
      <w:ind w:right="360"/>
      <w:rPr>
        <w:lang w:val="es-E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5A1B"/>
    <w:rsid w:val="00171AB1"/>
    <w:rsid w:val="003A58BB"/>
    <w:rsid w:val="00496E93"/>
    <w:rsid w:val="00532B30"/>
    <w:rsid w:val="00663676"/>
    <w:rsid w:val="00723DB9"/>
    <w:rsid w:val="008F28D2"/>
    <w:rsid w:val="00A826B5"/>
    <w:rsid w:val="00AC6DB6"/>
    <w:rsid w:val="00B55A1B"/>
    <w:rsid w:val="00D55C4A"/>
    <w:rsid w:val="00DF2126"/>
    <w:rsid w:val="00E540C3"/>
    <w:rsid w:val="00E67BA8"/>
    <w:rsid w:val="00F877A5"/>
    <w:rsid w:val="00FA27C4"/>
    <w:rsid w:val="00FA64F3"/>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tulo1">
    <w:name w:val="heading 1"/>
    <w:basedOn w:val="Normal"/>
    <w:next w:val="Normal"/>
    <w:qFormat/>
    <w:pPr>
      <w:keepNext/>
      <w:spacing w:before="100" w:after="100"/>
      <w:ind w:left="360" w:right="360"/>
      <w:outlineLvl w:val="0"/>
    </w:pPr>
    <w:rPr>
      <w:rFonts w:ascii="Arial" w:hAnsi="Arial"/>
      <w:b/>
      <w:sz w:val="20"/>
      <w:lang w:val="es-AR"/>
    </w:rPr>
  </w:style>
  <w:style w:type="paragraph" w:styleId="Ttulo2">
    <w:name w:val="heading 2"/>
    <w:basedOn w:val="Normal"/>
    <w:next w:val="Normal"/>
    <w:qFormat/>
    <w:pPr>
      <w:keepNext/>
      <w:spacing w:before="100" w:after="100"/>
      <w:ind w:left="360"/>
      <w:outlineLvl w:val="1"/>
    </w:pPr>
    <w:rPr>
      <w:rFonts w:ascii="Arial" w:hAnsi="Arial"/>
      <w:b/>
      <w:color w:val="FF0000"/>
      <w:sz w:val="36"/>
      <w:lang w:val="es-A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DF2126"/>
    <w:pPr>
      <w:tabs>
        <w:tab w:val="center" w:pos="4252"/>
        <w:tab w:val="right" w:pos="8504"/>
      </w:tabs>
    </w:pPr>
  </w:style>
  <w:style w:type="paragraph" w:styleId="Piedepgina">
    <w:name w:val="footer"/>
    <w:basedOn w:val="Normal"/>
    <w:rsid w:val="00DF2126"/>
    <w:pPr>
      <w:tabs>
        <w:tab w:val="center" w:pos="4252"/>
        <w:tab w:val="right" w:pos="8504"/>
      </w:tabs>
    </w:pPr>
  </w:style>
  <w:style w:type="character" w:styleId="Nmerodepgina">
    <w:name w:val="page number"/>
    <w:basedOn w:val="Fuentedeprrafopredeter"/>
    <w:rsid w:val="00E67BA8"/>
  </w:style>
  <w:style w:type="character" w:styleId="Hipervnculo">
    <w:name w:val="Hyperlink"/>
    <w:basedOn w:val="Fuentedeprrafopredeter"/>
    <w:rsid w:val="00E540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2070</Words>
  <Characters>11390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Dionisio Areopagita: TEOLOGÍA MÍSTICA</vt:lpstr>
    </vt:vector>
  </TitlesOfParts>
  <Company>LIBRODOT</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 TEOLOGÍA MÍSTICA</dc:title>
  <dc:creator>VCC</dc:creator>
  <cp:lastModifiedBy>GERARDO</cp:lastModifiedBy>
  <cp:revision>2</cp:revision>
  <cp:lastPrinted>2003-01-09T03:45:00Z</cp:lastPrinted>
  <dcterms:created xsi:type="dcterms:W3CDTF">2013-08-05T02:22:00Z</dcterms:created>
  <dcterms:modified xsi:type="dcterms:W3CDTF">2013-08-05T02:22:00Z</dcterms:modified>
</cp:coreProperties>
</file>